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38F30" w14:textId="77777777" w:rsidR="007926BC" w:rsidRDefault="007926BC" w:rsidP="00277F3F">
      <w:pPr>
        <w:pBdr>
          <w:top w:val="thinThickSmallGap" w:sz="24" w:space="1" w:color="auto"/>
          <w:bottom w:val="thickThinSmallGap" w:sz="24" w:space="1" w:color="auto"/>
        </w:pBdr>
        <w:jc w:val="center"/>
        <w:rPr>
          <w:rFonts w:ascii="Garamond" w:hAnsi="Garamond"/>
          <w:b/>
          <w:sz w:val="36"/>
          <w:szCs w:val="36"/>
        </w:rPr>
      </w:pPr>
      <w:r>
        <w:rPr>
          <w:rFonts w:ascii="Garamond" w:hAnsi="Garamond"/>
          <w:b/>
          <w:sz w:val="36"/>
          <w:szCs w:val="36"/>
        </w:rPr>
        <w:t>Win–Win Denial:</w:t>
      </w:r>
    </w:p>
    <w:p w14:paraId="1EA945E1" w14:textId="2A5A24D3" w:rsidR="007926BC" w:rsidRDefault="007926BC" w:rsidP="00277F3F">
      <w:pPr>
        <w:pBdr>
          <w:top w:val="thinThickSmallGap" w:sz="24" w:space="1" w:color="auto"/>
          <w:bottom w:val="thickThinSmallGap" w:sz="24" w:space="1" w:color="auto"/>
        </w:pBdr>
        <w:jc w:val="center"/>
        <w:rPr>
          <w:rFonts w:ascii="Garamond" w:hAnsi="Garamond"/>
          <w:b/>
          <w:sz w:val="36"/>
          <w:szCs w:val="36"/>
        </w:rPr>
      </w:pPr>
      <w:r>
        <w:rPr>
          <w:rFonts w:ascii="Garamond" w:hAnsi="Garamond"/>
          <w:b/>
          <w:sz w:val="36"/>
          <w:szCs w:val="36"/>
        </w:rPr>
        <w:t>The Psychological Underpinnings of Zero-Sum Thinking</w:t>
      </w:r>
    </w:p>
    <w:p w14:paraId="4A7FC5DE" w14:textId="77777777" w:rsidR="007926BC" w:rsidRDefault="007926BC" w:rsidP="00277F3F">
      <w:pPr>
        <w:pBdr>
          <w:top w:val="thinThickSmallGap" w:sz="24" w:space="1" w:color="auto"/>
          <w:bottom w:val="thickThinSmallGap" w:sz="24" w:space="1" w:color="auto"/>
        </w:pBdr>
        <w:jc w:val="center"/>
        <w:rPr>
          <w:rFonts w:ascii="Garamond" w:hAnsi="Garamond"/>
          <w:b/>
          <w:sz w:val="36"/>
          <w:szCs w:val="36"/>
        </w:rPr>
      </w:pPr>
    </w:p>
    <w:p w14:paraId="066C8BF1" w14:textId="3DD90ACA" w:rsidR="00277F3F" w:rsidRPr="008137EF" w:rsidRDefault="00277F3F" w:rsidP="00277F3F">
      <w:pPr>
        <w:pBdr>
          <w:top w:val="thinThickSmallGap" w:sz="24" w:space="1" w:color="auto"/>
          <w:bottom w:val="thickThinSmallGap" w:sz="24" w:space="1" w:color="auto"/>
        </w:pBdr>
        <w:jc w:val="center"/>
        <w:rPr>
          <w:rFonts w:ascii="Garamond" w:hAnsi="Garamond"/>
          <w:b/>
          <w:sz w:val="36"/>
          <w:szCs w:val="36"/>
        </w:rPr>
      </w:pPr>
      <w:r>
        <w:rPr>
          <w:rFonts w:ascii="Garamond" w:hAnsi="Garamond"/>
          <w:b/>
          <w:sz w:val="36"/>
          <w:szCs w:val="36"/>
        </w:rPr>
        <w:t xml:space="preserve">Supplementary Materials </w:t>
      </w:r>
    </w:p>
    <w:p w14:paraId="20820D5E" w14:textId="77777777" w:rsidR="00277F3F" w:rsidRDefault="00277F3F" w:rsidP="00277F3F">
      <w:pPr>
        <w:spacing w:line="276" w:lineRule="auto"/>
        <w:rPr>
          <w:rFonts w:ascii="Garamond" w:hAnsi="Garamond"/>
          <w:bCs/>
        </w:rPr>
      </w:pPr>
    </w:p>
    <w:p w14:paraId="44E0962A" w14:textId="500F32FF" w:rsidR="005C48F3" w:rsidRDefault="005C48F3" w:rsidP="005C48F3">
      <w:pPr>
        <w:spacing w:line="276" w:lineRule="auto"/>
        <w:jc w:val="center"/>
        <w:rPr>
          <w:rFonts w:ascii="Garamond" w:hAnsi="Garamond"/>
          <w:b/>
          <w:bCs/>
          <w:sz w:val="28"/>
          <w:szCs w:val="28"/>
        </w:rPr>
      </w:pPr>
      <w:r>
        <w:rPr>
          <w:rFonts w:ascii="Garamond" w:hAnsi="Garamond"/>
          <w:b/>
          <w:bCs/>
          <w:sz w:val="28"/>
          <w:szCs w:val="28"/>
        </w:rPr>
        <w:t>Part A: Study 1 Stimuli and Results Details</w:t>
      </w:r>
    </w:p>
    <w:p w14:paraId="7224444A" w14:textId="77777777" w:rsidR="006B16E3" w:rsidRPr="006B16E3" w:rsidRDefault="006B16E3" w:rsidP="005C48F3">
      <w:pPr>
        <w:spacing w:line="276" w:lineRule="auto"/>
        <w:jc w:val="center"/>
        <w:rPr>
          <w:rFonts w:ascii="Garamond" w:hAnsi="Garamond"/>
          <w:b/>
          <w:bCs/>
        </w:rPr>
      </w:pPr>
    </w:p>
    <w:tbl>
      <w:tblPr>
        <w:tblW w:w="10170" w:type="dxa"/>
        <w:jc w:val="center"/>
        <w:tblLayout w:type="fixed"/>
        <w:tblLook w:val="04A0" w:firstRow="1" w:lastRow="0" w:firstColumn="1" w:lastColumn="0" w:noHBand="0" w:noVBand="1"/>
      </w:tblPr>
      <w:tblGrid>
        <w:gridCol w:w="3960"/>
        <w:gridCol w:w="1080"/>
        <w:gridCol w:w="990"/>
        <w:gridCol w:w="1170"/>
        <w:gridCol w:w="1629"/>
        <w:gridCol w:w="1320"/>
        <w:gridCol w:w="14"/>
        <w:gridCol w:w="7"/>
      </w:tblGrid>
      <w:tr w:rsidR="005C48F3" w:rsidRPr="008137EF" w14:paraId="4117D09E" w14:textId="77777777" w:rsidTr="005C48F3">
        <w:trPr>
          <w:gridAfter w:val="1"/>
          <w:wAfter w:w="7" w:type="dxa"/>
          <w:trHeight w:val="242"/>
          <w:jc w:val="center"/>
        </w:trPr>
        <w:tc>
          <w:tcPr>
            <w:tcW w:w="3960" w:type="dxa"/>
            <w:tcBorders>
              <w:top w:val="single" w:sz="4" w:space="0" w:color="auto"/>
              <w:left w:val="nil"/>
              <w:bottom w:val="single" w:sz="4" w:space="0" w:color="auto"/>
            </w:tcBorders>
            <w:shd w:val="clear" w:color="auto" w:fill="D9D9D9" w:themeFill="background1" w:themeFillShade="D9"/>
          </w:tcPr>
          <w:p w14:paraId="76ED96BB" w14:textId="77777777" w:rsidR="005C48F3" w:rsidRPr="008137EF" w:rsidRDefault="005C48F3" w:rsidP="00E263A7">
            <w:pPr>
              <w:spacing w:line="276" w:lineRule="auto"/>
              <w:jc w:val="center"/>
              <w:rPr>
                <w:rFonts w:ascii="Garamond" w:hAnsi="Garamond"/>
                <w:b/>
                <w:bCs/>
              </w:rPr>
            </w:pPr>
          </w:p>
        </w:tc>
        <w:tc>
          <w:tcPr>
            <w:tcW w:w="2070" w:type="dxa"/>
            <w:gridSpan w:val="2"/>
            <w:tcBorders>
              <w:top w:val="single" w:sz="4" w:space="0" w:color="auto"/>
              <w:bottom w:val="single" w:sz="4" w:space="0" w:color="auto"/>
            </w:tcBorders>
            <w:shd w:val="clear" w:color="auto" w:fill="D9D9D9" w:themeFill="background1" w:themeFillShade="D9"/>
          </w:tcPr>
          <w:p w14:paraId="18F67316" w14:textId="666F10A8" w:rsidR="005C48F3" w:rsidRDefault="005C48F3" w:rsidP="00E263A7">
            <w:pPr>
              <w:spacing w:line="276" w:lineRule="auto"/>
              <w:jc w:val="center"/>
              <w:rPr>
                <w:rFonts w:ascii="Garamond" w:hAnsi="Garamond"/>
                <w:b/>
                <w:bCs/>
              </w:rPr>
            </w:pPr>
            <w:r>
              <w:rPr>
                <w:rFonts w:ascii="Garamond" w:hAnsi="Garamond"/>
                <w:b/>
                <w:bCs/>
              </w:rPr>
              <w:t>Means</w:t>
            </w:r>
          </w:p>
        </w:tc>
        <w:tc>
          <w:tcPr>
            <w:tcW w:w="4133" w:type="dxa"/>
            <w:gridSpan w:val="4"/>
            <w:tcBorders>
              <w:top w:val="single" w:sz="4" w:space="0" w:color="auto"/>
              <w:bottom w:val="single" w:sz="4" w:space="0" w:color="auto"/>
            </w:tcBorders>
            <w:shd w:val="clear" w:color="auto" w:fill="D9D9D9" w:themeFill="background1" w:themeFillShade="D9"/>
          </w:tcPr>
          <w:p w14:paraId="13BC7D18" w14:textId="25D68722" w:rsidR="005C48F3" w:rsidRPr="008137EF" w:rsidRDefault="005C48F3" w:rsidP="00E263A7">
            <w:pPr>
              <w:spacing w:line="276" w:lineRule="auto"/>
              <w:jc w:val="center"/>
              <w:rPr>
                <w:rFonts w:ascii="Garamond" w:hAnsi="Garamond"/>
                <w:b/>
                <w:bCs/>
              </w:rPr>
            </w:pPr>
            <w:r>
              <w:rPr>
                <w:rFonts w:ascii="Garamond" w:hAnsi="Garamond"/>
                <w:b/>
                <w:bCs/>
              </w:rPr>
              <w:t>Transaction Types</w:t>
            </w:r>
          </w:p>
        </w:tc>
      </w:tr>
      <w:tr w:rsidR="005C48F3" w:rsidRPr="008137EF" w14:paraId="658F140D" w14:textId="77777777" w:rsidTr="005C48F3">
        <w:trPr>
          <w:trHeight w:val="242"/>
          <w:jc w:val="center"/>
        </w:trPr>
        <w:tc>
          <w:tcPr>
            <w:tcW w:w="3960" w:type="dxa"/>
            <w:tcBorders>
              <w:top w:val="single" w:sz="4" w:space="0" w:color="auto"/>
              <w:left w:val="nil"/>
              <w:bottom w:val="single" w:sz="4" w:space="0" w:color="auto"/>
            </w:tcBorders>
            <w:shd w:val="clear" w:color="auto" w:fill="D9D9D9" w:themeFill="background1" w:themeFillShade="D9"/>
            <w:vAlign w:val="center"/>
          </w:tcPr>
          <w:p w14:paraId="49AB2181" w14:textId="57CAFCF4" w:rsidR="005C48F3" w:rsidRPr="008137EF" w:rsidRDefault="005C48F3" w:rsidP="005C48F3">
            <w:pPr>
              <w:spacing w:line="276" w:lineRule="auto"/>
              <w:jc w:val="center"/>
              <w:rPr>
                <w:rFonts w:ascii="Garamond" w:hAnsi="Garamond"/>
                <w:b/>
                <w:bCs/>
              </w:rPr>
            </w:pPr>
            <w:r>
              <w:rPr>
                <w:rFonts w:ascii="Garamond" w:hAnsi="Garamond"/>
                <w:b/>
                <w:bCs/>
              </w:rPr>
              <w:t>Monetary Transactions</w:t>
            </w:r>
          </w:p>
        </w:tc>
        <w:tc>
          <w:tcPr>
            <w:tcW w:w="1080" w:type="dxa"/>
            <w:tcBorders>
              <w:top w:val="single" w:sz="4" w:space="0" w:color="auto"/>
              <w:bottom w:val="single" w:sz="4" w:space="0" w:color="auto"/>
            </w:tcBorders>
            <w:shd w:val="clear" w:color="auto" w:fill="D9D9D9" w:themeFill="background1" w:themeFillShade="D9"/>
            <w:vAlign w:val="center"/>
          </w:tcPr>
          <w:p w14:paraId="653CF25C" w14:textId="0DB94220" w:rsidR="005C48F3" w:rsidRDefault="005C48F3" w:rsidP="005C48F3">
            <w:pPr>
              <w:spacing w:line="276" w:lineRule="auto"/>
              <w:jc w:val="center"/>
              <w:rPr>
                <w:rFonts w:ascii="Garamond" w:hAnsi="Garamond"/>
                <w:b/>
                <w:bCs/>
              </w:rPr>
            </w:pPr>
            <w:r>
              <w:rPr>
                <w:rFonts w:ascii="Garamond" w:hAnsi="Garamond"/>
                <w:b/>
                <w:bCs/>
              </w:rPr>
              <w:t>Buyer</w:t>
            </w:r>
          </w:p>
        </w:tc>
        <w:tc>
          <w:tcPr>
            <w:tcW w:w="990" w:type="dxa"/>
            <w:tcBorders>
              <w:top w:val="single" w:sz="4" w:space="0" w:color="auto"/>
              <w:bottom w:val="single" w:sz="4" w:space="0" w:color="auto"/>
            </w:tcBorders>
            <w:shd w:val="clear" w:color="auto" w:fill="D9D9D9" w:themeFill="background1" w:themeFillShade="D9"/>
            <w:vAlign w:val="center"/>
          </w:tcPr>
          <w:p w14:paraId="2B8B601C" w14:textId="363F7587" w:rsidR="005C48F3" w:rsidRDefault="005C48F3" w:rsidP="005C48F3">
            <w:pPr>
              <w:spacing w:line="276" w:lineRule="auto"/>
              <w:jc w:val="center"/>
              <w:rPr>
                <w:rFonts w:ascii="Garamond" w:hAnsi="Garamond"/>
                <w:b/>
                <w:bCs/>
              </w:rPr>
            </w:pPr>
            <w:r>
              <w:rPr>
                <w:rFonts w:ascii="Garamond" w:hAnsi="Garamond"/>
                <w:b/>
                <w:bCs/>
              </w:rPr>
              <w:t>Seller</w:t>
            </w:r>
          </w:p>
        </w:tc>
        <w:tc>
          <w:tcPr>
            <w:tcW w:w="1170" w:type="dxa"/>
            <w:tcBorders>
              <w:top w:val="single" w:sz="4" w:space="0" w:color="auto"/>
              <w:bottom w:val="single" w:sz="4" w:space="0" w:color="auto"/>
            </w:tcBorders>
            <w:shd w:val="clear" w:color="auto" w:fill="D9D9D9" w:themeFill="background1" w:themeFillShade="D9"/>
            <w:vAlign w:val="center"/>
          </w:tcPr>
          <w:p w14:paraId="45311F1D" w14:textId="41A9D634" w:rsidR="005C48F3" w:rsidRDefault="005C48F3" w:rsidP="005C48F3">
            <w:pPr>
              <w:spacing w:line="276" w:lineRule="auto"/>
              <w:jc w:val="center"/>
              <w:rPr>
                <w:rFonts w:ascii="Garamond" w:hAnsi="Garamond"/>
                <w:b/>
                <w:bCs/>
              </w:rPr>
            </w:pPr>
            <w:r>
              <w:rPr>
                <w:rFonts w:ascii="Garamond" w:hAnsi="Garamond"/>
                <w:b/>
                <w:bCs/>
              </w:rPr>
              <w:t>Win–Win</w:t>
            </w:r>
          </w:p>
        </w:tc>
        <w:tc>
          <w:tcPr>
            <w:tcW w:w="1629" w:type="dxa"/>
            <w:tcBorders>
              <w:top w:val="single" w:sz="4" w:space="0" w:color="auto"/>
              <w:bottom w:val="single" w:sz="4" w:space="0" w:color="auto"/>
            </w:tcBorders>
            <w:shd w:val="clear" w:color="auto" w:fill="D9D9D9" w:themeFill="background1" w:themeFillShade="D9"/>
            <w:vAlign w:val="center"/>
          </w:tcPr>
          <w:p w14:paraId="08837FCB" w14:textId="62D4A6E7" w:rsidR="005C48F3" w:rsidRDefault="005C48F3" w:rsidP="005C48F3">
            <w:pPr>
              <w:spacing w:line="276" w:lineRule="auto"/>
              <w:jc w:val="center"/>
              <w:rPr>
                <w:rFonts w:ascii="Garamond" w:hAnsi="Garamond"/>
                <w:b/>
                <w:bCs/>
              </w:rPr>
            </w:pPr>
            <w:r>
              <w:rPr>
                <w:rFonts w:ascii="Garamond" w:hAnsi="Garamond"/>
                <w:b/>
                <w:bCs/>
              </w:rPr>
              <w:t>Win–Lose</w:t>
            </w:r>
            <w:r>
              <w:rPr>
                <w:rFonts w:ascii="Garamond" w:hAnsi="Garamond"/>
                <w:b/>
                <w:bCs/>
              </w:rPr>
              <w:br/>
              <w:t>(Seller Wins)</w:t>
            </w:r>
          </w:p>
        </w:tc>
        <w:tc>
          <w:tcPr>
            <w:tcW w:w="1341" w:type="dxa"/>
            <w:gridSpan w:val="3"/>
            <w:tcBorders>
              <w:top w:val="single" w:sz="4" w:space="0" w:color="auto"/>
              <w:bottom w:val="single" w:sz="4" w:space="0" w:color="auto"/>
            </w:tcBorders>
            <w:shd w:val="clear" w:color="auto" w:fill="D9D9D9" w:themeFill="background1" w:themeFillShade="D9"/>
            <w:vAlign w:val="center"/>
          </w:tcPr>
          <w:p w14:paraId="37CA4392" w14:textId="73E90523" w:rsidR="005C48F3" w:rsidRDefault="005C48F3" w:rsidP="005C48F3">
            <w:pPr>
              <w:spacing w:line="276" w:lineRule="auto"/>
              <w:jc w:val="center"/>
              <w:rPr>
                <w:rFonts w:ascii="Garamond" w:hAnsi="Garamond"/>
                <w:b/>
                <w:bCs/>
              </w:rPr>
            </w:pPr>
            <w:r>
              <w:rPr>
                <w:rFonts w:ascii="Garamond" w:hAnsi="Garamond"/>
                <w:b/>
                <w:bCs/>
              </w:rPr>
              <w:t>Zero–Zero</w:t>
            </w:r>
          </w:p>
        </w:tc>
      </w:tr>
      <w:tr w:rsidR="005C48F3" w:rsidRPr="008137EF" w14:paraId="6F773276" w14:textId="77777777" w:rsidTr="00930983">
        <w:trPr>
          <w:jc w:val="center"/>
        </w:trPr>
        <w:tc>
          <w:tcPr>
            <w:tcW w:w="3960" w:type="dxa"/>
            <w:tcBorders>
              <w:top w:val="single" w:sz="4" w:space="0" w:color="auto"/>
              <w:left w:val="nil"/>
              <w:bottom w:val="nil"/>
            </w:tcBorders>
          </w:tcPr>
          <w:p w14:paraId="3D0112A9" w14:textId="1AB78CB9" w:rsidR="005C48F3" w:rsidRPr="005C48F3" w:rsidRDefault="005C48F3" w:rsidP="005C48F3">
            <w:pPr>
              <w:spacing w:before="40" w:after="40"/>
              <w:rPr>
                <w:rFonts w:ascii="Garamond" w:eastAsiaTheme="minorEastAsia" w:hAnsi="Garamond"/>
                <w:bCs/>
                <w:sz w:val="20"/>
                <w:szCs w:val="20"/>
              </w:rPr>
            </w:pPr>
            <w:r w:rsidRPr="005C48F3">
              <w:rPr>
                <w:rFonts w:ascii="Garamond" w:eastAsiaTheme="minorEastAsia" w:hAnsi="Garamond"/>
                <w:bCs/>
                <w:sz w:val="20"/>
                <w:szCs w:val="20"/>
              </w:rPr>
              <w:t>Jenny goes to Anne's grocery store. Jenny pays Anne $8 for a bottle of olive oil.</w:t>
            </w:r>
          </w:p>
        </w:tc>
        <w:tc>
          <w:tcPr>
            <w:tcW w:w="1080" w:type="dxa"/>
            <w:tcBorders>
              <w:top w:val="single" w:sz="4" w:space="0" w:color="auto"/>
              <w:bottom w:val="nil"/>
            </w:tcBorders>
            <w:vAlign w:val="center"/>
          </w:tcPr>
          <w:p w14:paraId="7431B5B6" w14:textId="37C515D4" w:rsidR="005C48F3" w:rsidRPr="008137EF" w:rsidRDefault="00930983" w:rsidP="00930983">
            <w:pPr>
              <w:spacing w:line="276" w:lineRule="auto"/>
              <w:jc w:val="center"/>
              <w:rPr>
                <w:rFonts w:ascii="Garamond" w:hAnsi="Garamond"/>
                <w:bCs/>
              </w:rPr>
            </w:pPr>
            <w:r>
              <w:rPr>
                <w:rFonts w:ascii="Garamond" w:hAnsi="Garamond"/>
                <w:bCs/>
              </w:rPr>
              <w:t>0.51</w:t>
            </w:r>
          </w:p>
        </w:tc>
        <w:tc>
          <w:tcPr>
            <w:tcW w:w="990" w:type="dxa"/>
            <w:tcBorders>
              <w:top w:val="single" w:sz="4" w:space="0" w:color="auto"/>
              <w:bottom w:val="nil"/>
            </w:tcBorders>
            <w:vAlign w:val="center"/>
          </w:tcPr>
          <w:p w14:paraId="2B0DA687" w14:textId="04E93D05" w:rsidR="005C48F3" w:rsidRPr="008137EF" w:rsidRDefault="00930983" w:rsidP="00930983">
            <w:pPr>
              <w:spacing w:line="276" w:lineRule="auto"/>
              <w:jc w:val="center"/>
              <w:rPr>
                <w:rFonts w:ascii="Garamond" w:hAnsi="Garamond"/>
                <w:bCs/>
              </w:rPr>
            </w:pPr>
            <w:r>
              <w:rPr>
                <w:rFonts w:ascii="Garamond" w:hAnsi="Garamond"/>
                <w:bCs/>
              </w:rPr>
              <w:t>1.61</w:t>
            </w:r>
          </w:p>
        </w:tc>
        <w:tc>
          <w:tcPr>
            <w:tcW w:w="1170" w:type="dxa"/>
            <w:tcBorders>
              <w:top w:val="single" w:sz="4" w:space="0" w:color="auto"/>
              <w:bottom w:val="nil"/>
              <w:right w:val="nil"/>
            </w:tcBorders>
            <w:vAlign w:val="center"/>
          </w:tcPr>
          <w:p w14:paraId="6D35B25C" w14:textId="557229E3" w:rsidR="005C48F3" w:rsidRPr="008137EF" w:rsidRDefault="005C48F3" w:rsidP="00930983">
            <w:pPr>
              <w:spacing w:line="276" w:lineRule="auto"/>
              <w:jc w:val="center"/>
              <w:rPr>
                <w:rFonts w:ascii="Garamond" w:hAnsi="Garamond"/>
                <w:bCs/>
              </w:rPr>
            </w:pPr>
            <w:r>
              <w:rPr>
                <w:rFonts w:ascii="Garamond" w:hAnsi="Garamond"/>
                <w:bCs/>
              </w:rPr>
              <w:t>46.5%</w:t>
            </w:r>
          </w:p>
        </w:tc>
        <w:tc>
          <w:tcPr>
            <w:tcW w:w="1629" w:type="dxa"/>
            <w:tcBorders>
              <w:top w:val="single" w:sz="4" w:space="0" w:color="auto"/>
              <w:left w:val="nil"/>
              <w:bottom w:val="nil"/>
              <w:right w:val="nil"/>
            </w:tcBorders>
            <w:vAlign w:val="center"/>
          </w:tcPr>
          <w:p w14:paraId="400872E0" w14:textId="30A5D6D9" w:rsidR="005C48F3" w:rsidRPr="008137EF" w:rsidRDefault="005C48F3" w:rsidP="00930983">
            <w:pPr>
              <w:spacing w:line="276" w:lineRule="auto"/>
              <w:jc w:val="center"/>
              <w:rPr>
                <w:rFonts w:ascii="Garamond" w:hAnsi="Garamond"/>
                <w:bCs/>
              </w:rPr>
            </w:pPr>
            <w:r>
              <w:rPr>
                <w:rFonts w:ascii="Garamond" w:hAnsi="Garamond"/>
                <w:bCs/>
              </w:rPr>
              <w:t>34.9%</w:t>
            </w:r>
          </w:p>
        </w:tc>
        <w:tc>
          <w:tcPr>
            <w:tcW w:w="1341" w:type="dxa"/>
            <w:gridSpan w:val="3"/>
            <w:tcBorders>
              <w:top w:val="single" w:sz="4" w:space="0" w:color="auto"/>
              <w:left w:val="nil"/>
              <w:bottom w:val="nil"/>
            </w:tcBorders>
            <w:vAlign w:val="center"/>
          </w:tcPr>
          <w:p w14:paraId="1F2BD42B" w14:textId="6F4E7393" w:rsidR="005C48F3" w:rsidRPr="008137EF" w:rsidRDefault="005C48F3" w:rsidP="00930983">
            <w:pPr>
              <w:spacing w:line="276" w:lineRule="auto"/>
              <w:jc w:val="center"/>
              <w:rPr>
                <w:rFonts w:ascii="Garamond" w:hAnsi="Garamond"/>
                <w:bCs/>
              </w:rPr>
            </w:pPr>
            <w:r>
              <w:rPr>
                <w:rFonts w:ascii="Garamond" w:hAnsi="Garamond"/>
                <w:bCs/>
              </w:rPr>
              <w:t>4.7%</w:t>
            </w:r>
          </w:p>
        </w:tc>
      </w:tr>
      <w:tr w:rsidR="005C48F3" w:rsidRPr="008137EF" w14:paraId="361458A8" w14:textId="77777777" w:rsidTr="00930983">
        <w:trPr>
          <w:trHeight w:val="351"/>
          <w:jc w:val="center"/>
        </w:trPr>
        <w:tc>
          <w:tcPr>
            <w:tcW w:w="3960" w:type="dxa"/>
            <w:tcBorders>
              <w:left w:val="nil"/>
              <w:bottom w:val="nil"/>
            </w:tcBorders>
          </w:tcPr>
          <w:p w14:paraId="4AD7C596" w14:textId="74B8138B" w:rsidR="005C48F3" w:rsidRPr="005C48F3" w:rsidRDefault="005C48F3" w:rsidP="005C48F3">
            <w:pPr>
              <w:tabs>
                <w:tab w:val="left" w:pos="3579"/>
              </w:tabs>
              <w:spacing w:before="40" w:after="40"/>
              <w:rPr>
                <w:rFonts w:ascii="Garamond" w:hAnsi="Garamond"/>
                <w:bCs/>
                <w:sz w:val="20"/>
                <w:szCs w:val="20"/>
              </w:rPr>
            </w:pPr>
            <w:r w:rsidRPr="005C48F3">
              <w:rPr>
                <w:rFonts w:ascii="Garamond" w:hAnsi="Garamond"/>
                <w:bCs/>
                <w:sz w:val="20"/>
                <w:szCs w:val="20"/>
              </w:rPr>
              <w:t>Sam goes to Matt's car dealership. Sam pays Matt $33,000 for a Toyota.</w:t>
            </w:r>
          </w:p>
        </w:tc>
        <w:tc>
          <w:tcPr>
            <w:tcW w:w="1080" w:type="dxa"/>
            <w:tcBorders>
              <w:bottom w:val="nil"/>
            </w:tcBorders>
            <w:vAlign w:val="center"/>
          </w:tcPr>
          <w:p w14:paraId="6BBB270D" w14:textId="16910F59" w:rsidR="005C48F3" w:rsidRPr="008137EF" w:rsidRDefault="00930983" w:rsidP="00930983">
            <w:pPr>
              <w:spacing w:line="276" w:lineRule="auto"/>
              <w:jc w:val="center"/>
              <w:rPr>
                <w:rFonts w:ascii="Garamond" w:hAnsi="Garamond"/>
                <w:bCs/>
              </w:rPr>
            </w:pPr>
            <w:r>
              <w:rPr>
                <w:rFonts w:ascii="Garamond" w:hAnsi="Garamond"/>
                <w:bCs/>
              </w:rPr>
              <w:t>–0.02</w:t>
            </w:r>
          </w:p>
        </w:tc>
        <w:tc>
          <w:tcPr>
            <w:tcW w:w="990" w:type="dxa"/>
            <w:tcBorders>
              <w:bottom w:val="nil"/>
            </w:tcBorders>
            <w:vAlign w:val="center"/>
          </w:tcPr>
          <w:p w14:paraId="16BBB474" w14:textId="2093536D" w:rsidR="005C48F3" w:rsidRPr="008137EF" w:rsidRDefault="00930983" w:rsidP="00930983">
            <w:pPr>
              <w:spacing w:line="276" w:lineRule="auto"/>
              <w:jc w:val="center"/>
              <w:rPr>
                <w:rFonts w:ascii="Garamond" w:hAnsi="Garamond"/>
                <w:bCs/>
              </w:rPr>
            </w:pPr>
            <w:r>
              <w:rPr>
                <w:rFonts w:ascii="Garamond" w:hAnsi="Garamond"/>
                <w:bCs/>
              </w:rPr>
              <w:t>3.09</w:t>
            </w:r>
          </w:p>
        </w:tc>
        <w:tc>
          <w:tcPr>
            <w:tcW w:w="1170" w:type="dxa"/>
            <w:tcBorders>
              <w:bottom w:val="nil"/>
              <w:right w:val="nil"/>
            </w:tcBorders>
            <w:vAlign w:val="center"/>
          </w:tcPr>
          <w:p w14:paraId="52C3FAE9" w14:textId="6078D46A" w:rsidR="005C48F3" w:rsidRPr="008137EF" w:rsidRDefault="00930983" w:rsidP="00930983">
            <w:pPr>
              <w:spacing w:line="276" w:lineRule="auto"/>
              <w:jc w:val="center"/>
              <w:rPr>
                <w:rFonts w:ascii="Garamond" w:hAnsi="Garamond"/>
                <w:bCs/>
              </w:rPr>
            </w:pPr>
            <w:r>
              <w:rPr>
                <w:rFonts w:ascii="Garamond" w:hAnsi="Garamond"/>
                <w:bCs/>
              </w:rPr>
              <w:t>52.3%</w:t>
            </w:r>
          </w:p>
        </w:tc>
        <w:tc>
          <w:tcPr>
            <w:tcW w:w="1629" w:type="dxa"/>
            <w:tcBorders>
              <w:left w:val="nil"/>
              <w:bottom w:val="nil"/>
              <w:right w:val="nil"/>
            </w:tcBorders>
            <w:vAlign w:val="center"/>
          </w:tcPr>
          <w:p w14:paraId="437D9A4E" w14:textId="041EEDC6" w:rsidR="005C48F3" w:rsidRPr="008137EF" w:rsidRDefault="00930983" w:rsidP="00930983">
            <w:pPr>
              <w:spacing w:line="276" w:lineRule="auto"/>
              <w:jc w:val="center"/>
              <w:rPr>
                <w:rFonts w:ascii="Garamond" w:hAnsi="Garamond"/>
                <w:bCs/>
              </w:rPr>
            </w:pPr>
            <w:r>
              <w:rPr>
                <w:rFonts w:ascii="Garamond" w:hAnsi="Garamond"/>
                <w:bCs/>
              </w:rPr>
              <w:t>39.5%</w:t>
            </w:r>
          </w:p>
        </w:tc>
        <w:tc>
          <w:tcPr>
            <w:tcW w:w="1341" w:type="dxa"/>
            <w:gridSpan w:val="3"/>
            <w:tcBorders>
              <w:left w:val="nil"/>
              <w:bottom w:val="nil"/>
            </w:tcBorders>
            <w:vAlign w:val="center"/>
          </w:tcPr>
          <w:p w14:paraId="44957E20" w14:textId="44C9F2D4" w:rsidR="005C48F3" w:rsidRPr="008137EF" w:rsidRDefault="00930983" w:rsidP="00930983">
            <w:pPr>
              <w:spacing w:line="276" w:lineRule="auto"/>
              <w:jc w:val="center"/>
              <w:rPr>
                <w:rFonts w:ascii="Garamond" w:hAnsi="Garamond"/>
                <w:bCs/>
              </w:rPr>
            </w:pPr>
            <w:r>
              <w:rPr>
                <w:rFonts w:ascii="Garamond" w:hAnsi="Garamond"/>
                <w:bCs/>
              </w:rPr>
              <w:t>0.0%</w:t>
            </w:r>
          </w:p>
        </w:tc>
      </w:tr>
      <w:tr w:rsidR="005C48F3" w:rsidRPr="008137EF" w14:paraId="32CD3CA8" w14:textId="77777777" w:rsidTr="00930983">
        <w:trPr>
          <w:jc w:val="center"/>
        </w:trPr>
        <w:tc>
          <w:tcPr>
            <w:tcW w:w="3960" w:type="dxa"/>
            <w:tcBorders>
              <w:left w:val="nil"/>
              <w:bottom w:val="nil"/>
            </w:tcBorders>
          </w:tcPr>
          <w:p w14:paraId="459A065D" w14:textId="108D8EB0" w:rsidR="005C48F3" w:rsidRPr="005C48F3" w:rsidRDefault="005C48F3" w:rsidP="005C48F3">
            <w:pPr>
              <w:spacing w:before="40" w:after="40"/>
              <w:rPr>
                <w:rFonts w:ascii="Garamond" w:hAnsi="Garamond"/>
                <w:bCs/>
                <w:sz w:val="20"/>
                <w:szCs w:val="20"/>
              </w:rPr>
            </w:pPr>
            <w:r w:rsidRPr="005C48F3">
              <w:rPr>
                <w:rFonts w:ascii="Garamond" w:hAnsi="Garamond"/>
                <w:bCs/>
                <w:sz w:val="20"/>
                <w:szCs w:val="20"/>
              </w:rPr>
              <w:t>Mary goes to Jack’s supermarket. She pays Jack $2 for a chocolate bar.</w:t>
            </w:r>
          </w:p>
        </w:tc>
        <w:tc>
          <w:tcPr>
            <w:tcW w:w="1080" w:type="dxa"/>
            <w:tcBorders>
              <w:bottom w:val="nil"/>
            </w:tcBorders>
            <w:vAlign w:val="center"/>
          </w:tcPr>
          <w:p w14:paraId="7FF9996D" w14:textId="0296418B" w:rsidR="005C48F3" w:rsidRPr="008137EF" w:rsidRDefault="00930983" w:rsidP="00930983">
            <w:pPr>
              <w:spacing w:line="276" w:lineRule="auto"/>
              <w:jc w:val="center"/>
              <w:rPr>
                <w:rFonts w:ascii="Garamond" w:hAnsi="Garamond"/>
                <w:bCs/>
              </w:rPr>
            </w:pPr>
            <w:r>
              <w:rPr>
                <w:rFonts w:ascii="Garamond" w:hAnsi="Garamond"/>
                <w:bCs/>
              </w:rPr>
              <w:t>0.65</w:t>
            </w:r>
          </w:p>
        </w:tc>
        <w:tc>
          <w:tcPr>
            <w:tcW w:w="990" w:type="dxa"/>
            <w:tcBorders>
              <w:bottom w:val="nil"/>
            </w:tcBorders>
            <w:vAlign w:val="center"/>
          </w:tcPr>
          <w:p w14:paraId="27F8571A" w14:textId="4204592F" w:rsidR="005C48F3" w:rsidRPr="008137EF" w:rsidRDefault="00930983" w:rsidP="00930983">
            <w:pPr>
              <w:spacing w:line="276" w:lineRule="auto"/>
              <w:jc w:val="center"/>
              <w:rPr>
                <w:rFonts w:ascii="Garamond" w:hAnsi="Garamond"/>
                <w:bCs/>
              </w:rPr>
            </w:pPr>
            <w:r>
              <w:rPr>
                <w:rFonts w:ascii="Garamond" w:hAnsi="Garamond"/>
                <w:bCs/>
              </w:rPr>
              <w:t>1.19</w:t>
            </w:r>
          </w:p>
        </w:tc>
        <w:tc>
          <w:tcPr>
            <w:tcW w:w="1170" w:type="dxa"/>
            <w:tcBorders>
              <w:bottom w:val="nil"/>
              <w:right w:val="nil"/>
            </w:tcBorders>
            <w:vAlign w:val="center"/>
          </w:tcPr>
          <w:p w14:paraId="40F2F5C0" w14:textId="0A6B80B9" w:rsidR="005C48F3" w:rsidRPr="008137EF" w:rsidRDefault="00930983" w:rsidP="00930983">
            <w:pPr>
              <w:spacing w:line="276" w:lineRule="auto"/>
              <w:jc w:val="center"/>
              <w:rPr>
                <w:rFonts w:ascii="Garamond" w:hAnsi="Garamond"/>
                <w:bCs/>
              </w:rPr>
            </w:pPr>
            <w:r>
              <w:rPr>
                <w:rFonts w:ascii="Garamond" w:hAnsi="Garamond"/>
                <w:bCs/>
              </w:rPr>
              <w:t>46.5%</w:t>
            </w:r>
          </w:p>
        </w:tc>
        <w:tc>
          <w:tcPr>
            <w:tcW w:w="1629" w:type="dxa"/>
            <w:tcBorders>
              <w:left w:val="nil"/>
              <w:bottom w:val="nil"/>
              <w:right w:val="nil"/>
            </w:tcBorders>
            <w:vAlign w:val="center"/>
          </w:tcPr>
          <w:p w14:paraId="43CAAA08" w14:textId="75728465" w:rsidR="005C48F3" w:rsidRPr="008137EF" w:rsidRDefault="00930983" w:rsidP="00930983">
            <w:pPr>
              <w:spacing w:line="276" w:lineRule="auto"/>
              <w:jc w:val="center"/>
              <w:rPr>
                <w:rFonts w:ascii="Garamond" w:hAnsi="Garamond"/>
                <w:bCs/>
              </w:rPr>
            </w:pPr>
            <w:r>
              <w:rPr>
                <w:rFonts w:ascii="Garamond" w:hAnsi="Garamond"/>
                <w:bCs/>
              </w:rPr>
              <w:t>27.9%</w:t>
            </w:r>
          </w:p>
        </w:tc>
        <w:tc>
          <w:tcPr>
            <w:tcW w:w="1341" w:type="dxa"/>
            <w:gridSpan w:val="3"/>
            <w:tcBorders>
              <w:left w:val="nil"/>
              <w:bottom w:val="nil"/>
            </w:tcBorders>
            <w:vAlign w:val="center"/>
          </w:tcPr>
          <w:p w14:paraId="50E9C23B" w14:textId="54E94A6F" w:rsidR="005C48F3" w:rsidRPr="008137EF" w:rsidRDefault="00930983" w:rsidP="00930983">
            <w:pPr>
              <w:spacing w:line="276" w:lineRule="auto"/>
              <w:jc w:val="center"/>
              <w:rPr>
                <w:rFonts w:ascii="Garamond" w:hAnsi="Garamond"/>
                <w:bCs/>
              </w:rPr>
            </w:pPr>
            <w:r>
              <w:rPr>
                <w:rFonts w:ascii="Garamond" w:hAnsi="Garamond"/>
                <w:bCs/>
              </w:rPr>
              <w:t>7.0%</w:t>
            </w:r>
          </w:p>
        </w:tc>
      </w:tr>
      <w:tr w:rsidR="005C48F3" w:rsidRPr="008137EF" w14:paraId="5D550F1A" w14:textId="77777777" w:rsidTr="00930983">
        <w:trPr>
          <w:jc w:val="center"/>
        </w:trPr>
        <w:tc>
          <w:tcPr>
            <w:tcW w:w="3960" w:type="dxa"/>
            <w:tcBorders>
              <w:left w:val="nil"/>
              <w:bottom w:val="nil"/>
            </w:tcBorders>
          </w:tcPr>
          <w:p w14:paraId="069CD01A" w14:textId="648CF468" w:rsidR="005C48F3" w:rsidRPr="005C48F3" w:rsidRDefault="005C48F3" w:rsidP="005C48F3">
            <w:pPr>
              <w:spacing w:before="40" w:after="40"/>
              <w:rPr>
                <w:rFonts w:ascii="Garamond" w:hAnsi="Garamond"/>
                <w:bCs/>
                <w:sz w:val="20"/>
                <w:szCs w:val="20"/>
              </w:rPr>
            </w:pPr>
            <w:r w:rsidRPr="005C48F3">
              <w:rPr>
                <w:rFonts w:ascii="Garamond" w:hAnsi="Garamond"/>
                <w:bCs/>
                <w:sz w:val="20"/>
                <w:szCs w:val="20"/>
              </w:rPr>
              <w:t>Sally goes to Tony’s clothing store. She pays Tony $30 for a shirt.</w:t>
            </w:r>
          </w:p>
        </w:tc>
        <w:tc>
          <w:tcPr>
            <w:tcW w:w="1080" w:type="dxa"/>
            <w:tcBorders>
              <w:bottom w:val="nil"/>
            </w:tcBorders>
            <w:vAlign w:val="center"/>
          </w:tcPr>
          <w:p w14:paraId="39849398" w14:textId="3CCB6B91" w:rsidR="005C48F3" w:rsidRPr="008137EF" w:rsidRDefault="00930983" w:rsidP="00930983">
            <w:pPr>
              <w:spacing w:line="276" w:lineRule="auto"/>
              <w:jc w:val="center"/>
              <w:rPr>
                <w:rFonts w:ascii="Garamond" w:hAnsi="Garamond"/>
                <w:bCs/>
              </w:rPr>
            </w:pPr>
            <w:r>
              <w:rPr>
                <w:rFonts w:ascii="Garamond" w:hAnsi="Garamond"/>
                <w:bCs/>
              </w:rPr>
              <w:t>0.42</w:t>
            </w:r>
          </w:p>
        </w:tc>
        <w:tc>
          <w:tcPr>
            <w:tcW w:w="990" w:type="dxa"/>
            <w:tcBorders>
              <w:bottom w:val="nil"/>
            </w:tcBorders>
            <w:vAlign w:val="center"/>
          </w:tcPr>
          <w:p w14:paraId="0F51391C" w14:textId="17631925" w:rsidR="005C48F3" w:rsidRPr="008137EF" w:rsidRDefault="00930983" w:rsidP="00930983">
            <w:pPr>
              <w:spacing w:line="276" w:lineRule="auto"/>
              <w:jc w:val="center"/>
              <w:rPr>
                <w:rFonts w:ascii="Garamond" w:hAnsi="Garamond"/>
                <w:bCs/>
              </w:rPr>
            </w:pPr>
            <w:r>
              <w:rPr>
                <w:rFonts w:ascii="Garamond" w:hAnsi="Garamond"/>
                <w:bCs/>
              </w:rPr>
              <w:t>2.16</w:t>
            </w:r>
          </w:p>
        </w:tc>
        <w:tc>
          <w:tcPr>
            <w:tcW w:w="1170" w:type="dxa"/>
            <w:tcBorders>
              <w:bottom w:val="nil"/>
              <w:right w:val="nil"/>
            </w:tcBorders>
            <w:vAlign w:val="center"/>
          </w:tcPr>
          <w:p w14:paraId="48E82B78" w14:textId="652C16D5" w:rsidR="005C48F3" w:rsidRPr="008137EF" w:rsidRDefault="00930983" w:rsidP="00930983">
            <w:pPr>
              <w:spacing w:line="276" w:lineRule="auto"/>
              <w:jc w:val="center"/>
              <w:rPr>
                <w:rFonts w:ascii="Garamond" w:hAnsi="Garamond"/>
                <w:bCs/>
              </w:rPr>
            </w:pPr>
            <w:r>
              <w:rPr>
                <w:rFonts w:ascii="Garamond" w:hAnsi="Garamond"/>
                <w:bCs/>
              </w:rPr>
              <w:t>53.5%</w:t>
            </w:r>
          </w:p>
        </w:tc>
        <w:tc>
          <w:tcPr>
            <w:tcW w:w="1629" w:type="dxa"/>
            <w:tcBorders>
              <w:left w:val="nil"/>
              <w:bottom w:val="nil"/>
              <w:right w:val="nil"/>
            </w:tcBorders>
            <w:vAlign w:val="center"/>
          </w:tcPr>
          <w:p w14:paraId="0DD87303" w14:textId="00AD0C09" w:rsidR="005C48F3" w:rsidRPr="008137EF" w:rsidRDefault="00930983" w:rsidP="00930983">
            <w:pPr>
              <w:spacing w:line="276" w:lineRule="auto"/>
              <w:jc w:val="center"/>
              <w:rPr>
                <w:rFonts w:ascii="Garamond" w:hAnsi="Garamond"/>
                <w:bCs/>
              </w:rPr>
            </w:pPr>
            <w:r>
              <w:rPr>
                <w:rFonts w:ascii="Garamond" w:hAnsi="Garamond"/>
                <w:bCs/>
              </w:rPr>
              <w:t>38.4%</w:t>
            </w:r>
          </w:p>
        </w:tc>
        <w:tc>
          <w:tcPr>
            <w:tcW w:w="1341" w:type="dxa"/>
            <w:gridSpan w:val="3"/>
            <w:tcBorders>
              <w:left w:val="nil"/>
              <w:bottom w:val="nil"/>
            </w:tcBorders>
            <w:vAlign w:val="center"/>
          </w:tcPr>
          <w:p w14:paraId="43C0FA74" w14:textId="138B5D83" w:rsidR="005C48F3" w:rsidRPr="008137EF" w:rsidRDefault="00930983" w:rsidP="00930983">
            <w:pPr>
              <w:spacing w:line="276" w:lineRule="auto"/>
              <w:jc w:val="center"/>
              <w:rPr>
                <w:rFonts w:ascii="Garamond" w:hAnsi="Garamond"/>
                <w:bCs/>
              </w:rPr>
            </w:pPr>
            <w:r>
              <w:rPr>
                <w:rFonts w:ascii="Garamond" w:hAnsi="Garamond"/>
                <w:bCs/>
              </w:rPr>
              <w:t>4.7%</w:t>
            </w:r>
          </w:p>
        </w:tc>
      </w:tr>
      <w:tr w:rsidR="005C48F3" w:rsidRPr="008137EF" w14:paraId="34F625F9" w14:textId="77777777" w:rsidTr="00930983">
        <w:trPr>
          <w:jc w:val="center"/>
        </w:trPr>
        <w:tc>
          <w:tcPr>
            <w:tcW w:w="3960" w:type="dxa"/>
            <w:tcBorders>
              <w:left w:val="nil"/>
              <w:bottom w:val="nil"/>
            </w:tcBorders>
          </w:tcPr>
          <w:p w14:paraId="233145EB" w14:textId="6A229986" w:rsidR="005C48F3" w:rsidRPr="005C48F3" w:rsidRDefault="005C48F3" w:rsidP="005C48F3">
            <w:pPr>
              <w:spacing w:before="40" w:after="40"/>
              <w:rPr>
                <w:rFonts w:ascii="Garamond" w:hAnsi="Garamond"/>
                <w:bCs/>
                <w:sz w:val="20"/>
                <w:szCs w:val="20"/>
              </w:rPr>
            </w:pPr>
            <w:r w:rsidRPr="005C48F3">
              <w:rPr>
                <w:rFonts w:ascii="Garamond" w:hAnsi="Garamond"/>
                <w:bCs/>
                <w:sz w:val="20"/>
                <w:szCs w:val="20"/>
              </w:rPr>
              <w:t>Eric goes to Paul's barber shop. Eric pays Paul $15 for a haircut.</w:t>
            </w:r>
          </w:p>
        </w:tc>
        <w:tc>
          <w:tcPr>
            <w:tcW w:w="1080" w:type="dxa"/>
            <w:tcBorders>
              <w:bottom w:val="nil"/>
            </w:tcBorders>
            <w:vAlign w:val="center"/>
          </w:tcPr>
          <w:p w14:paraId="7690A41C" w14:textId="036E3DB3" w:rsidR="005C48F3" w:rsidRPr="008137EF" w:rsidRDefault="00930983" w:rsidP="00930983">
            <w:pPr>
              <w:spacing w:line="276" w:lineRule="auto"/>
              <w:jc w:val="center"/>
              <w:rPr>
                <w:rFonts w:ascii="Garamond" w:hAnsi="Garamond"/>
                <w:bCs/>
              </w:rPr>
            </w:pPr>
            <w:r>
              <w:rPr>
                <w:rFonts w:ascii="Garamond" w:hAnsi="Garamond"/>
                <w:bCs/>
              </w:rPr>
              <w:t>1.10</w:t>
            </w:r>
          </w:p>
        </w:tc>
        <w:tc>
          <w:tcPr>
            <w:tcW w:w="990" w:type="dxa"/>
            <w:tcBorders>
              <w:bottom w:val="nil"/>
            </w:tcBorders>
            <w:vAlign w:val="center"/>
          </w:tcPr>
          <w:p w14:paraId="77891F51" w14:textId="5B908F25" w:rsidR="005C48F3" w:rsidRPr="008137EF" w:rsidRDefault="00930983" w:rsidP="00930983">
            <w:pPr>
              <w:spacing w:line="276" w:lineRule="auto"/>
              <w:jc w:val="center"/>
              <w:rPr>
                <w:rFonts w:ascii="Garamond" w:hAnsi="Garamond"/>
                <w:bCs/>
              </w:rPr>
            </w:pPr>
            <w:r>
              <w:rPr>
                <w:rFonts w:ascii="Garamond" w:hAnsi="Garamond"/>
                <w:bCs/>
              </w:rPr>
              <w:t>1.92</w:t>
            </w:r>
          </w:p>
        </w:tc>
        <w:tc>
          <w:tcPr>
            <w:tcW w:w="1170" w:type="dxa"/>
            <w:tcBorders>
              <w:bottom w:val="nil"/>
              <w:right w:val="nil"/>
            </w:tcBorders>
            <w:vAlign w:val="center"/>
          </w:tcPr>
          <w:p w14:paraId="34540A4F" w14:textId="4F174BA1" w:rsidR="005C48F3" w:rsidRPr="008137EF" w:rsidRDefault="00930983" w:rsidP="00930983">
            <w:pPr>
              <w:spacing w:line="276" w:lineRule="auto"/>
              <w:jc w:val="center"/>
              <w:rPr>
                <w:rFonts w:ascii="Garamond" w:hAnsi="Garamond"/>
                <w:bCs/>
              </w:rPr>
            </w:pPr>
            <w:r>
              <w:rPr>
                <w:rFonts w:ascii="Garamond" w:hAnsi="Garamond"/>
                <w:bCs/>
              </w:rPr>
              <w:t>60.5%</w:t>
            </w:r>
          </w:p>
        </w:tc>
        <w:tc>
          <w:tcPr>
            <w:tcW w:w="1629" w:type="dxa"/>
            <w:tcBorders>
              <w:left w:val="nil"/>
              <w:bottom w:val="nil"/>
              <w:right w:val="nil"/>
            </w:tcBorders>
            <w:vAlign w:val="center"/>
          </w:tcPr>
          <w:p w14:paraId="171C4C8C" w14:textId="77F38E42" w:rsidR="005C48F3" w:rsidRPr="008137EF" w:rsidRDefault="00930983" w:rsidP="00930983">
            <w:pPr>
              <w:spacing w:line="276" w:lineRule="auto"/>
              <w:jc w:val="center"/>
              <w:rPr>
                <w:rFonts w:ascii="Garamond" w:hAnsi="Garamond"/>
                <w:bCs/>
              </w:rPr>
            </w:pPr>
            <w:r>
              <w:rPr>
                <w:rFonts w:ascii="Garamond" w:hAnsi="Garamond"/>
                <w:bCs/>
              </w:rPr>
              <w:t>19.8%</w:t>
            </w:r>
          </w:p>
        </w:tc>
        <w:tc>
          <w:tcPr>
            <w:tcW w:w="1341" w:type="dxa"/>
            <w:gridSpan w:val="3"/>
            <w:tcBorders>
              <w:left w:val="nil"/>
              <w:bottom w:val="nil"/>
            </w:tcBorders>
            <w:vAlign w:val="center"/>
          </w:tcPr>
          <w:p w14:paraId="33B15427" w14:textId="1D561BD0" w:rsidR="005C48F3" w:rsidRPr="008137EF" w:rsidRDefault="00930983" w:rsidP="00930983">
            <w:pPr>
              <w:spacing w:line="276" w:lineRule="auto"/>
              <w:jc w:val="center"/>
              <w:rPr>
                <w:rFonts w:ascii="Garamond" w:hAnsi="Garamond"/>
                <w:bCs/>
              </w:rPr>
            </w:pPr>
            <w:r>
              <w:rPr>
                <w:rFonts w:ascii="Garamond" w:hAnsi="Garamond"/>
                <w:bCs/>
              </w:rPr>
              <w:t>2.3%</w:t>
            </w:r>
          </w:p>
        </w:tc>
      </w:tr>
      <w:tr w:rsidR="005C48F3" w:rsidRPr="008137EF" w14:paraId="1483E93F" w14:textId="77777777" w:rsidTr="00930983">
        <w:trPr>
          <w:jc w:val="center"/>
        </w:trPr>
        <w:tc>
          <w:tcPr>
            <w:tcW w:w="3960" w:type="dxa"/>
            <w:tcBorders>
              <w:left w:val="nil"/>
              <w:bottom w:val="nil"/>
            </w:tcBorders>
          </w:tcPr>
          <w:p w14:paraId="32C07DDB" w14:textId="2ED3E8D1" w:rsidR="005C48F3" w:rsidRPr="005C48F3" w:rsidRDefault="005C48F3" w:rsidP="005C48F3">
            <w:pPr>
              <w:spacing w:before="40" w:after="40"/>
              <w:rPr>
                <w:rFonts w:ascii="Garamond" w:hAnsi="Garamond"/>
                <w:bCs/>
                <w:sz w:val="20"/>
                <w:szCs w:val="20"/>
              </w:rPr>
            </w:pPr>
            <w:r w:rsidRPr="005C48F3">
              <w:rPr>
                <w:rFonts w:ascii="Garamond" w:hAnsi="Garamond"/>
                <w:bCs/>
                <w:sz w:val="20"/>
                <w:szCs w:val="20"/>
              </w:rPr>
              <w:t>Jane goes to Anna’s massage parlor. Jane pays Anna $60 for a 1 hour massage.</w:t>
            </w:r>
          </w:p>
        </w:tc>
        <w:tc>
          <w:tcPr>
            <w:tcW w:w="1080" w:type="dxa"/>
            <w:tcBorders>
              <w:bottom w:val="nil"/>
            </w:tcBorders>
            <w:vAlign w:val="center"/>
          </w:tcPr>
          <w:p w14:paraId="3B1A7AA9" w14:textId="232F07D0" w:rsidR="005C48F3" w:rsidRPr="008137EF" w:rsidRDefault="00930983" w:rsidP="00930983">
            <w:pPr>
              <w:spacing w:line="276" w:lineRule="auto"/>
              <w:jc w:val="center"/>
              <w:rPr>
                <w:rFonts w:ascii="Garamond" w:hAnsi="Garamond"/>
                <w:bCs/>
              </w:rPr>
            </w:pPr>
            <w:r>
              <w:rPr>
                <w:rFonts w:ascii="Garamond" w:hAnsi="Garamond"/>
                <w:bCs/>
              </w:rPr>
              <w:t>1.35</w:t>
            </w:r>
          </w:p>
        </w:tc>
        <w:tc>
          <w:tcPr>
            <w:tcW w:w="990" w:type="dxa"/>
            <w:tcBorders>
              <w:bottom w:val="nil"/>
            </w:tcBorders>
            <w:vAlign w:val="center"/>
          </w:tcPr>
          <w:p w14:paraId="66B73837" w14:textId="5C2E6382" w:rsidR="005C48F3" w:rsidRPr="008137EF" w:rsidRDefault="00930983" w:rsidP="00930983">
            <w:pPr>
              <w:spacing w:line="276" w:lineRule="auto"/>
              <w:jc w:val="center"/>
              <w:rPr>
                <w:rFonts w:ascii="Garamond" w:hAnsi="Garamond"/>
                <w:bCs/>
              </w:rPr>
            </w:pPr>
            <w:r>
              <w:rPr>
                <w:rFonts w:ascii="Garamond" w:hAnsi="Garamond"/>
                <w:bCs/>
              </w:rPr>
              <w:t>2.07</w:t>
            </w:r>
          </w:p>
        </w:tc>
        <w:tc>
          <w:tcPr>
            <w:tcW w:w="1170" w:type="dxa"/>
            <w:tcBorders>
              <w:bottom w:val="nil"/>
              <w:right w:val="nil"/>
            </w:tcBorders>
            <w:vAlign w:val="center"/>
          </w:tcPr>
          <w:p w14:paraId="1DA9172C" w14:textId="055EF5B4" w:rsidR="005C48F3" w:rsidRPr="008137EF" w:rsidRDefault="00930983" w:rsidP="00930983">
            <w:pPr>
              <w:spacing w:line="276" w:lineRule="auto"/>
              <w:jc w:val="center"/>
              <w:rPr>
                <w:rFonts w:ascii="Garamond" w:hAnsi="Garamond"/>
                <w:bCs/>
              </w:rPr>
            </w:pPr>
            <w:r>
              <w:rPr>
                <w:rFonts w:ascii="Garamond" w:hAnsi="Garamond"/>
                <w:bCs/>
              </w:rPr>
              <w:t>67.4%</w:t>
            </w:r>
          </w:p>
        </w:tc>
        <w:tc>
          <w:tcPr>
            <w:tcW w:w="1629" w:type="dxa"/>
            <w:tcBorders>
              <w:left w:val="nil"/>
              <w:bottom w:val="nil"/>
              <w:right w:val="nil"/>
            </w:tcBorders>
            <w:vAlign w:val="center"/>
          </w:tcPr>
          <w:p w14:paraId="7AEAB9F0" w14:textId="1D644DC1" w:rsidR="005C48F3" w:rsidRDefault="00930983" w:rsidP="00930983">
            <w:pPr>
              <w:spacing w:line="276" w:lineRule="auto"/>
              <w:jc w:val="center"/>
              <w:rPr>
                <w:rFonts w:ascii="Garamond" w:hAnsi="Garamond"/>
                <w:bCs/>
              </w:rPr>
            </w:pPr>
            <w:r>
              <w:rPr>
                <w:rFonts w:ascii="Garamond" w:hAnsi="Garamond"/>
                <w:bCs/>
              </w:rPr>
              <w:t>17.4%</w:t>
            </w:r>
          </w:p>
        </w:tc>
        <w:tc>
          <w:tcPr>
            <w:tcW w:w="1341" w:type="dxa"/>
            <w:gridSpan w:val="3"/>
            <w:tcBorders>
              <w:left w:val="nil"/>
              <w:bottom w:val="nil"/>
            </w:tcBorders>
            <w:vAlign w:val="center"/>
          </w:tcPr>
          <w:p w14:paraId="19EC2CEB" w14:textId="59A3446E" w:rsidR="005C48F3" w:rsidRDefault="00930983" w:rsidP="00930983">
            <w:pPr>
              <w:spacing w:line="276" w:lineRule="auto"/>
              <w:jc w:val="center"/>
              <w:rPr>
                <w:rFonts w:ascii="Garamond" w:hAnsi="Garamond"/>
                <w:bCs/>
              </w:rPr>
            </w:pPr>
            <w:r>
              <w:rPr>
                <w:rFonts w:ascii="Garamond" w:hAnsi="Garamond"/>
                <w:bCs/>
              </w:rPr>
              <w:t>1.2%</w:t>
            </w:r>
          </w:p>
        </w:tc>
      </w:tr>
      <w:tr w:rsidR="005C48F3" w:rsidRPr="008137EF" w14:paraId="5E2373D8" w14:textId="77777777" w:rsidTr="00930983">
        <w:trPr>
          <w:jc w:val="center"/>
        </w:trPr>
        <w:tc>
          <w:tcPr>
            <w:tcW w:w="3960" w:type="dxa"/>
            <w:tcBorders>
              <w:left w:val="nil"/>
              <w:bottom w:val="nil"/>
            </w:tcBorders>
          </w:tcPr>
          <w:p w14:paraId="464664E8" w14:textId="2EDCC18A" w:rsidR="005C48F3" w:rsidRPr="005C48F3" w:rsidRDefault="005C48F3" w:rsidP="005C48F3">
            <w:pPr>
              <w:spacing w:before="40" w:after="40"/>
              <w:rPr>
                <w:rFonts w:ascii="Garamond" w:hAnsi="Garamond"/>
                <w:bCs/>
                <w:sz w:val="20"/>
                <w:szCs w:val="20"/>
              </w:rPr>
            </w:pPr>
            <w:r w:rsidRPr="005C48F3">
              <w:rPr>
                <w:rFonts w:ascii="Garamond" w:hAnsi="Garamond"/>
                <w:bCs/>
                <w:sz w:val="20"/>
                <w:szCs w:val="20"/>
              </w:rPr>
              <w:t>Kevin goes to Betty's pet grooming center. Kevin pays Betty $45 for his dog to be groomed.</w:t>
            </w:r>
          </w:p>
        </w:tc>
        <w:tc>
          <w:tcPr>
            <w:tcW w:w="1080" w:type="dxa"/>
            <w:tcBorders>
              <w:bottom w:val="nil"/>
            </w:tcBorders>
            <w:vAlign w:val="center"/>
          </w:tcPr>
          <w:p w14:paraId="193F37D9" w14:textId="0ADAFA13" w:rsidR="005C48F3" w:rsidRPr="008137EF" w:rsidRDefault="00930983" w:rsidP="00930983">
            <w:pPr>
              <w:spacing w:line="276" w:lineRule="auto"/>
              <w:jc w:val="center"/>
              <w:rPr>
                <w:rFonts w:ascii="Garamond" w:hAnsi="Garamond"/>
                <w:bCs/>
              </w:rPr>
            </w:pPr>
            <w:r>
              <w:rPr>
                <w:rFonts w:ascii="Garamond" w:hAnsi="Garamond"/>
                <w:bCs/>
              </w:rPr>
              <w:t>0.66</w:t>
            </w:r>
          </w:p>
        </w:tc>
        <w:tc>
          <w:tcPr>
            <w:tcW w:w="990" w:type="dxa"/>
            <w:tcBorders>
              <w:bottom w:val="nil"/>
            </w:tcBorders>
            <w:vAlign w:val="center"/>
          </w:tcPr>
          <w:p w14:paraId="4860DB35" w14:textId="0081B343" w:rsidR="005C48F3" w:rsidRPr="008137EF" w:rsidRDefault="00930983" w:rsidP="00930983">
            <w:pPr>
              <w:spacing w:line="276" w:lineRule="auto"/>
              <w:jc w:val="center"/>
              <w:rPr>
                <w:rFonts w:ascii="Garamond" w:hAnsi="Garamond"/>
                <w:bCs/>
              </w:rPr>
            </w:pPr>
            <w:r>
              <w:rPr>
                <w:rFonts w:ascii="Garamond" w:hAnsi="Garamond"/>
                <w:bCs/>
              </w:rPr>
              <w:t>2.23</w:t>
            </w:r>
          </w:p>
        </w:tc>
        <w:tc>
          <w:tcPr>
            <w:tcW w:w="1170" w:type="dxa"/>
            <w:tcBorders>
              <w:bottom w:val="nil"/>
              <w:right w:val="nil"/>
            </w:tcBorders>
            <w:vAlign w:val="center"/>
          </w:tcPr>
          <w:p w14:paraId="1599E862" w14:textId="734D3D12" w:rsidR="005C48F3" w:rsidRPr="008137EF" w:rsidRDefault="00930983" w:rsidP="00930983">
            <w:pPr>
              <w:spacing w:line="276" w:lineRule="auto"/>
              <w:jc w:val="center"/>
              <w:rPr>
                <w:rFonts w:ascii="Garamond" w:hAnsi="Garamond"/>
                <w:bCs/>
              </w:rPr>
            </w:pPr>
            <w:r>
              <w:rPr>
                <w:rFonts w:ascii="Garamond" w:hAnsi="Garamond"/>
                <w:bCs/>
              </w:rPr>
              <w:t>57.0%</w:t>
            </w:r>
          </w:p>
        </w:tc>
        <w:tc>
          <w:tcPr>
            <w:tcW w:w="1629" w:type="dxa"/>
            <w:tcBorders>
              <w:left w:val="nil"/>
              <w:bottom w:val="nil"/>
              <w:right w:val="nil"/>
            </w:tcBorders>
            <w:vAlign w:val="center"/>
          </w:tcPr>
          <w:p w14:paraId="4C74B1BF" w14:textId="15BDF952" w:rsidR="005C48F3" w:rsidRDefault="00930983" w:rsidP="00930983">
            <w:pPr>
              <w:spacing w:line="276" w:lineRule="auto"/>
              <w:jc w:val="center"/>
              <w:rPr>
                <w:rFonts w:ascii="Garamond" w:hAnsi="Garamond"/>
                <w:bCs/>
              </w:rPr>
            </w:pPr>
            <w:r>
              <w:rPr>
                <w:rFonts w:ascii="Garamond" w:hAnsi="Garamond"/>
                <w:bCs/>
              </w:rPr>
              <w:t>29.1%</w:t>
            </w:r>
          </w:p>
        </w:tc>
        <w:tc>
          <w:tcPr>
            <w:tcW w:w="1341" w:type="dxa"/>
            <w:gridSpan w:val="3"/>
            <w:tcBorders>
              <w:left w:val="nil"/>
              <w:bottom w:val="nil"/>
            </w:tcBorders>
            <w:vAlign w:val="center"/>
          </w:tcPr>
          <w:p w14:paraId="33D3C46E" w14:textId="4DEDA7AF" w:rsidR="005C48F3" w:rsidRDefault="00930983" w:rsidP="00930983">
            <w:pPr>
              <w:spacing w:line="276" w:lineRule="auto"/>
              <w:jc w:val="center"/>
              <w:rPr>
                <w:rFonts w:ascii="Garamond" w:hAnsi="Garamond"/>
                <w:bCs/>
              </w:rPr>
            </w:pPr>
            <w:r>
              <w:rPr>
                <w:rFonts w:ascii="Garamond" w:hAnsi="Garamond"/>
                <w:bCs/>
              </w:rPr>
              <w:t>2.3%</w:t>
            </w:r>
          </w:p>
        </w:tc>
      </w:tr>
      <w:tr w:rsidR="005C48F3" w:rsidRPr="008137EF" w14:paraId="3170044F" w14:textId="77777777" w:rsidTr="00930983">
        <w:trPr>
          <w:jc w:val="center"/>
        </w:trPr>
        <w:tc>
          <w:tcPr>
            <w:tcW w:w="3960" w:type="dxa"/>
            <w:tcBorders>
              <w:left w:val="nil"/>
              <w:bottom w:val="single" w:sz="4" w:space="0" w:color="auto"/>
            </w:tcBorders>
          </w:tcPr>
          <w:p w14:paraId="355DF5C8" w14:textId="73CF0CB0" w:rsidR="005C48F3" w:rsidRPr="005C48F3" w:rsidRDefault="005C48F3" w:rsidP="005C48F3">
            <w:pPr>
              <w:spacing w:before="40" w:after="40"/>
              <w:rPr>
                <w:rFonts w:ascii="Garamond" w:hAnsi="Garamond"/>
                <w:bCs/>
                <w:sz w:val="20"/>
                <w:szCs w:val="20"/>
              </w:rPr>
            </w:pPr>
            <w:r w:rsidRPr="005C48F3">
              <w:rPr>
                <w:rFonts w:ascii="Garamond" w:hAnsi="Garamond"/>
                <w:bCs/>
                <w:sz w:val="20"/>
                <w:szCs w:val="20"/>
              </w:rPr>
              <w:t>Amy goes to David’s plumbing company. Amy pays David $130 for her shower to be fixed.</w:t>
            </w:r>
          </w:p>
        </w:tc>
        <w:tc>
          <w:tcPr>
            <w:tcW w:w="1080" w:type="dxa"/>
            <w:tcBorders>
              <w:bottom w:val="single" w:sz="4" w:space="0" w:color="auto"/>
            </w:tcBorders>
            <w:vAlign w:val="center"/>
          </w:tcPr>
          <w:p w14:paraId="3844242D" w14:textId="0E41D910" w:rsidR="005C48F3" w:rsidRPr="008137EF" w:rsidRDefault="00930983" w:rsidP="00930983">
            <w:pPr>
              <w:spacing w:line="276" w:lineRule="auto"/>
              <w:jc w:val="center"/>
              <w:rPr>
                <w:rFonts w:ascii="Garamond" w:hAnsi="Garamond"/>
                <w:bCs/>
              </w:rPr>
            </w:pPr>
            <w:r>
              <w:rPr>
                <w:rFonts w:ascii="Garamond" w:hAnsi="Garamond"/>
                <w:bCs/>
              </w:rPr>
              <w:t>0.81</w:t>
            </w:r>
          </w:p>
        </w:tc>
        <w:tc>
          <w:tcPr>
            <w:tcW w:w="990" w:type="dxa"/>
            <w:tcBorders>
              <w:bottom w:val="single" w:sz="4" w:space="0" w:color="auto"/>
            </w:tcBorders>
            <w:vAlign w:val="center"/>
          </w:tcPr>
          <w:p w14:paraId="42333FA0" w14:textId="5A642D59" w:rsidR="005C48F3" w:rsidRPr="008137EF" w:rsidRDefault="00930983" w:rsidP="00930983">
            <w:pPr>
              <w:spacing w:line="276" w:lineRule="auto"/>
              <w:jc w:val="center"/>
              <w:rPr>
                <w:rFonts w:ascii="Garamond" w:hAnsi="Garamond"/>
                <w:bCs/>
              </w:rPr>
            </w:pPr>
            <w:r>
              <w:rPr>
                <w:rFonts w:ascii="Garamond" w:hAnsi="Garamond"/>
                <w:bCs/>
              </w:rPr>
              <w:t>2.36</w:t>
            </w:r>
          </w:p>
        </w:tc>
        <w:tc>
          <w:tcPr>
            <w:tcW w:w="1170" w:type="dxa"/>
            <w:tcBorders>
              <w:bottom w:val="single" w:sz="4" w:space="0" w:color="auto"/>
              <w:right w:val="nil"/>
            </w:tcBorders>
            <w:vAlign w:val="center"/>
          </w:tcPr>
          <w:p w14:paraId="70AAC76E" w14:textId="5974336D" w:rsidR="005C48F3" w:rsidRPr="008137EF" w:rsidRDefault="00930983" w:rsidP="00930983">
            <w:pPr>
              <w:spacing w:line="276" w:lineRule="auto"/>
              <w:jc w:val="center"/>
              <w:rPr>
                <w:rFonts w:ascii="Garamond" w:hAnsi="Garamond"/>
                <w:bCs/>
              </w:rPr>
            </w:pPr>
            <w:r>
              <w:rPr>
                <w:rFonts w:ascii="Garamond" w:hAnsi="Garamond"/>
                <w:bCs/>
              </w:rPr>
              <w:t>59.3%</w:t>
            </w:r>
          </w:p>
        </w:tc>
        <w:tc>
          <w:tcPr>
            <w:tcW w:w="1629" w:type="dxa"/>
            <w:tcBorders>
              <w:left w:val="nil"/>
              <w:bottom w:val="single" w:sz="4" w:space="0" w:color="auto"/>
              <w:right w:val="nil"/>
            </w:tcBorders>
            <w:vAlign w:val="center"/>
          </w:tcPr>
          <w:p w14:paraId="62B1B5A1" w14:textId="763CA238" w:rsidR="005C48F3" w:rsidRDefault="00930983" w:rsidP="00930983">
            <w:pPr>
              <w:spacing w:line="276" w:lineRule="auto"/>
              <w:jc w:val="center"/>
              <w:rPr>
                <w:rFonts w:ascii="Garamond" w:hAnsi="Garamond"/>
                <w:bCs/>
              </w:rPr>
            </w:pPr>
            <w:r>
              <w:rPr>
                <w:rFonts w:ascii="Garamond" w:hAnsi="Garamond"/>
                <w:bCs/>
              </w:rPr>
              <w:t>31.4%</w:t>
            </w:r>
          </w:p>
        </w:tc>
        <w:tc>
          <w:tcPr>
            <w:tcW w:w="1341" w:type="dxa"/>
            <w:gridSpan w:val="3"/>
            <w:tcBorders>
              <w:left w:val="nil"/>
              <w:bottom w:val="single" w:sz="4" w:space="0" w:color="auto"/>
            </w:tcBorders>
            <w:vAlign w:val="center"/>
          </w:tcPr>
          <w:p w14:paraId="5691C644" w14:textId="1D0E2B07" w:rsidR="005C48F3" w:rsidRDefault="00930983" w:rsidP="00930983">
            <w:pPr>
              <w:spacing w:line="276" w:lineRule="auto"/>
              <w:jc w:val="center"/>
              <w:rPr>
                <w:rFonts w:ascii="Garamond" w:hAnsi="Garamond"/>
                <w:bCs/>
              </w:rPr>
            </w:pPr>
            <w:r>
              <w:rPr>
                <w:rFonts w:ascii="Garamond" w:hAnsi="Garamond"/>
                <w:bCs/>
              </w:rPr>
              <w:t>2.3%</w:t>
            </w:r>
          </w:p>
        </w:tc>
      </w:tr>
      <w:tr w:rsidR="005C48F3" w:rsidRPr="008137EF" w14:paraId="66D57EE0" w14:textId="77777777" w:rsidTr="00930983">
        <w:trPr>
          <w:jc w:val="center"/>
        </w:trPr>
        <w:tc>
          <w:tcPr>
            <w:tcW w:w="3960" w:type="dxa"/>
            <w:tcBorders>
              <w:top w:val="single" w:sz="4" w:space="0" w:color="auto"/>
              <w:left w:val="nil"/>
              <w:bottom w:val="single" w:sz="4" w:space="0" w:color="auto"/>
            </w:tcBorders>
            <w:shd w:val="clear" w:color="auto" w:fill="D9D9D9" w:themeFill="background1" w:themeFillShade="D9"/>
            <w:vAlign w:val="center"/>
          </w:tcPr>
          <w:p w14:paraId="621B9813" w14:textId="1C7179E3" w:rsidR="005C48F3" w:rsidRPr="008137EF" w:rsidRDefault="005C48F3" w:rsidP="005C48F3">
            <w:pPr>
              <w:spacing w:before="40" w:after="40"/>
              <w:jc w:val="center"/>
              <w:rPr>
                <w:rFonts w:ascii="Garamond" w:hAnsi="Garamond"/>
                <w:bCs/>
              </w:rPr>
            </w:pPr>
            <w:r>
              <w:rPr>
                <w:rFonts w:ascii="Garamond" w:hAnsi="Garamond"/>
                <w:b/>
                <w:bCs/>
              </w:rPr>
              <w:t>Barter</w:t>
            </w:r>
            <w:r w:rsidR="00930983">
              <w:rPr>
                <w:rFonts w:ascii="Garamond" w:hAnsi="Garamond"/>
                <w:b/>
                <w:bCs/>
              </w:rPr>
              <w:t xml:space="preserve"> Transactions</w:t>
            </w:r>
          </w:p>
        </w:tc>
        <w:tc>
          <w:tcPr>
            <w:tcW w:w="2070" w:type="dxa"/>
            <w:gridSpan w:val="2"/>
            <w:tcBorders>
              <w:top w:val="single" w:sz="4" w:space="0" w:color="auto"/>
              <w:bottom w:val="single" w:sz="4" w:space="0" w:color="auto"/>
            </w:tcBorders>
            <w:shd w:val="clear" w:color="auto" w:fill="D9D9D9" w:themeFill="background1" w:themeFillShade="D9"/>
            <w:vAlign w:val="center"/>
          </w:tcPr>
          <w:p w14:paraId="3DC3E900" w14:textId="7168C02E" w:rsidR="005C48F3" w:rsidRDefault="005C48F3" w:rsidP="00930983">
            <w:pPr>
              <w:spacing w:line="276" w:lineRule="auto"/>
              <w:jc w:val="center"/>
              <w:rPr>
                <w:rFonts w:ascii="Garamond" w:hAnsi="Garamond"/>
                <w:b/>
                <w:bCs/>
              </w:rPr>
            </w:pPr>
            <w:r>
              <w:rPr>
                <w:rFonts w:ascii="Garamond" w:hAnsi="Garamond"/>
                <w:b/>
                <w:bCs/>
              </w:rPr>
              <w:t>Traders</w:t>
            </w:r>
          </w:p>
        </w:tc>
        <w:tc>
          <w:tcPr>
            <w:tcW w:w="1170" w:type="dxa"/>
            <w:tcBorders>
              <w:top w:val="single" w:sz="4" w:space="0" w:color="auto"/>
              <w:bottom w:val="single" w:sz="4" w:space="0" w:color="auto"/>
              <w:right w:val="nil"/>
            </w:tcBorders>
            <w:shd w:val="clear" w:color="auto" w:fill="D9D9D9" w:themeFill="background1" w:themeFillShade="D9"/>
            <w:vAlign w:val="center"/>
          </w:tcPr>
          <w:p w14:paraId="57A5E9D7" w14:textId="431CAA73" w:rsidR="005C48F3" w:rsidRPr="008137EF" w:rsidRDefault="005C48F3" w:rsidP="005C48F3">
            <w:pPr>
              <w:spacing w:line="276" w:lineRule="auto"/>
              <w:jc w:val="center"/>
              <w:rPr>
                <w:rFonts w:ascii="Garamond" w:hAnsi="Garamond"/>
                <w:bCs/>
              </w:rPr>
            </w:pPr>
            <w:r>
              <w:rPr>
                <w:rFonts w:ascii="Garamond" w:hAnsi="Garamond"/>
                <w:b/>
                <w:bCs/>
              </w:rPr>
              <w:t>Win–Win</w:t>
            </w:r>
          </w:p>
        </w:tc>
        <w:tc>
          <w:tcPr>
            <w:tcW w:w="1629" w:type="dxa"/>
            <w:tcBorders>
              <w:top w:val="single" w:sz="4" w:space="0" w:color="auto"/>
              <w:left w:val="nil"/>
              <w:bottom w:val="single" w:sz="4" w:space="0" w:color="auto"/>
              <w:right w:val="nil"/>
            </w:tcBorders>
            <w:shd w:val="clear" w:color="auto" w:fill="D9D9D9" w:themeFill="background1" w:themeFillShade="D9"/>
            <w:vAlign w:val="center"/>
          </w:tcPr>
          <w:p w14:paraId="1308CE40" w14:textId="78D3C38E" w:rsidR="005C48F3" w:rsidRPr="008137EF" w:rsidRDefault="005C48F3" w:rsidP="005C48F3">
            <w:pPr>
              <w:spacing w:line="276" w:lineRule="auto"/>
              <w:jc w:val="center"/>
              <w:rPr>
                <w:rFonts w:ascii="Garamond" w:hAnsi="Garamond"/>
                <w:bCs/>
              </w:rPr>
            </w:pPr>
            <w:r>
              <w:rPr>
                <w:rFonts w:ascii="Garamond" w:hAnsi="Garamond"/>
                <w:b/>
                <w:bCs/>
              </w:rPr>
              <w:t>Win–Lose</w:t>
            </w:r>
          </w:p>
        </w:tc>
        <w:tc>
          <w:tcPr>
            <w:tcW w:w="1341" w:type="dxa"/>
            <w:gridSpan w:val="3"/>
            <w:tcBorders>
              <w:top w:val="single" w:sz="4" w:space="0" w:color="auto"/>
              <w:left w:val="nil"/>
              <w:bottom w:val="single" w:sz="4" w:space="0" w:color="auto"/>
            </w:tcBorders>
            <w:shd w:val="clear" w:color="auto" w:fill="D9D9D9" w:themeFill="background1" w:themeFillShade="D9"/>
            <w:vAlign w:val="center"/>
          </w:tcPr>
          <w:p w14:paraId="53DD2B5D" w14:textId="2ECBD333" w:rsidR="005C48F3" w:rsidRPr="008137EF" w:rsidRDefault="005C48F3" w:rsidP="005C48F3">
            <w:pPr>
              <w:spacing w:line="276" w:lineRule="auto"/>
              <w:jc w:val="center"/>
              <w:rPr>
                <w:rFonts w:ascii="Garamond" w:hAnsi="Garamond"/>
                <w:bCs/>
              </w:rPr>
            </w:pPr>
            <w:r>
              <w:rPr>
                <w:rFonts w:ascii="Garamond" w:hAnsi="Garamond"/>
                <w:b/>
                <w:bCs/>
              </w:rPr>
              <w:t>Zero–Zero</w:t>
            </w:r>
          </w:p>
        </w:tc>
      </w:tr>
      <w:tr w:rsidR="00930983" w:rsidRPr="008137EF" w14:paraId="15D7803F" w14:textId="77777777" w:rsidTr="00E263A7">
        <w:trPr>
          <w:jc w:val="center"/>
        </w:trPr>
        <w:tc>
          <w:tcPr>
            <w:tcW w:w="3960" w:type="dxa"/>
            <w:tcBorders>
              <w:top w:val="single" w:sz="4" w:space="0" w:color="auto"/>
              <w:left w:val="nil"/>
              <w:bottom w:val="nil"/>
            </w:tcBorders>
          </w:tcPr>
          <w:p w14:paraId="6084B77F" w14:textId="53A2102B" w:rsidR="00930983" w:rsidRPr="005C48F3" w:rsidRDefault="00930983" w:rsidP="005C48F3">
            <w:pPr>
              <w:spacing w:before="40" w:after="40"/>
              <w:rPr>
                <w:rFonts w:ascii="Garamond" w:hAnsi="Garamond"/>
                <w:bCs/>
                <w:sz w:val="20"/>
                <w:szCs w:val="20"/>
              </w:rPr>
            </w:pPr>
            <w:r w:rsidRPr="005C48F3">
              <w:rPr>
                <w:rFonts w:ascii="Garamond" w:hAnsi="Garamond"/>
                <w:bCs/>
                <w:sz w:val="20"/>
                <w:szCs w:val="20"/>
              </w:rPr>
              <w:t>Mark goes to his neighbor Fred. Mark trades his bottle of soy sauce for Fred's bottle of vinegar.</w:t>
            </w:r>
          </w:p>
        </w:tc>
        <w:tc>
          <w:tcPr>
            <w:tcW w:w="2070" w:type="dxa"/>
            <w:gridSpan w:val="2"/>
            <w:tcBorders>
              <w:top w:val="single" w:sz="4" w:space="0" w:color="auto"/>
              <w:bottom w:val="nil"/>
            </w:tcBorders>
            <w:vAlign w:val="center"/>
          </w:tcPr>
          <w:p w14:paraId="4F7A7490" w14:textId="51EF48B4" w:rsidR="00930983" w:rsidRPr="008137EF" w:rsidRDefault="00930983" w:rsidP="00930983">
            <w:pPr>
              <w:spacing w:line="276" w:lineRule="auto"/>
              <w:jc w:val="center"/>
              <w:rPr>
                <w:rFonts w:ascii="Garamond" w:hAnsi="Garamond"/>
                <w:bCs/>
              </w:rPr>
            </w:pPr>
            <w:r>
              <w:rPr>
                <w:rFonts w:ascii="Garamond" w:hAnsi="Garamond"/>
                <w:bCs/>
              </w:rPr>
              <w:t>0.55</w:t>
            </w:r>
          </w:p>
        </w:tc>
        <w:tc>
          <w:tcPr>
            <w:tcW w:w="1170" w:type="dxa"/>
            <w:tcBorders>
              <w:top w:val="single" w:sz="4" w:space="0" w:color="auto"/>
              <w:bottom w:val="nil"/>
              <w:right w:val="nil"/>
            </w:tcBorders>
            <w:vAlign w:val="center"/>
          </w:tcPr>
          <w:p w14:paraId="5E806A29" w14:textId="41C5D9CD" w:rsidR="00930983" w:rsidRPr="008137EF" w:rsidRDefault="00930983" w:rsidP="00930983">
            <w:pPr>
              <w:spacing w:line="276" w:lineRule="auto"/>
              <w:jc w:val="center"/>
              <w:rPr>
                <w:rFonts w:ascii="Garamond" w:hAnsi="Garamond"/>
                <w:bCs/>
              </w:rPr>
            </w:pPr>
            <w:r>
              <w:rPr>
                <w:rFonts w:ascii="Garamond" w:hAnsi="Garamond"/>
                <w:bCs/>
              </w:rPr>
              <w:t>31.4%</w:t>
            </w:r>
          </w:p>
        </w:tc>
        <w:tc>
          <w:tcPr>
            <w:tcW w:w="1629" w:type="dxa"/>
            <w:tcBorders>
              <w:top w:val="single" w:sz="4" w:space="0" w:color="auto"/>
              <w:left w:val="nil"/>
              <w:bottom w:val="nil"/>
              <w:right w:val="nil"/>
            </w:tcBorders>
            <w:vAlign w:val="center"/>
          </w:tcPr>
          <w:p w14:paraId="7F759DBA" w14:textId="321B4545" w:rsidR="00930983" w:rsidRDefault="00930983" w:rsidP="00930983">
            <w:pPr>
              <w:spacing w:line="276" w:lineRule="auto"/>
              <w:jc w:val="center"/>
              <w:rPr>
                <w:rFonts w:ascii="Garamond" w:hAnsi="Garamond"/>
                <w:bCs/>
              </w:rPr>
            </w:pPr>
            <w:r>
              <w:rPr>
                <w:rFonts w:ascii="Garamond" w:hAnsi="Garamond"/>
                <w:bCs/>
              </w:rPr>
              <w:t>15.1%</w:t>
            </w:r>
          </w:p>
        </w:tc>
        <w:tc>
          <w:tcPr>
            <w:tcW w:w="1341" w:type="dxa"/>
            <w:gridSpan w:val="3"/>
            <w:tcBorders>
              <w:top w:val="single" w:sz="4" w:space="0" w:color="auto"/>
              <w:left w:val="nil"/>
              <w:bottom w:val="nil"/>
            </w:tcBorders>
            <w:vAlign w:val="center"/>
          </w:tcPr>
          <w:p w14:paraId="5E30EBEB" w14:textId="1CBD8106" w:rsidR="00930983" w:rsidRDefault="00930983" w:rsidP="00930983">
            <w:pPr>
              <w:spacing w:line="276" w:lineRule="auto"/>
              <w:jc w:val="center"/>
              <w:rPr>
                <w:rFonts w:ascii="Garamond" w:hAnsi="Garamond"/>
                <w:bCs/>
              </w:rPr>
            </w:pPr>
            <w:r>
              <w:rPr>
                <w:rFonts w:ascii="Garamond" w:hAnsi="Garamond"/>
                <w:bCs/>
              </w:rPr>
              <w:t>43.0%</w:t>
            </w:r>
          </w:p>
        </w:tc>
      </w:tr>
      <w:tr w:rsidR="00930983" w:rsidRPr="008137EF" w14:paraId="0526F059" w14:textId="77777777" w:rsidTr="00E263A7">
        <w:trPr>
          <w:jc w:val="center"/>
        </w:trPr>
        <w:tc>
          <w:tcPr>
            <w:tcW w:w="3960" w:type="dxa"/>
            <w:tcBorders>
              <w:left w:val="nil"/>
              <w:bottom w:val="nil"/>
            </w:tcBorders>
          </w:tcPr>
          <w:p w14:paraId="27714D64" w14:textId="0B5335D7" w:rsidR="00930983" w:rsidRPr="005C48F3" w:rsidRDefault="00930983" w:rsidP="005C48F3">
            <w:pPr>
              <w:spacing w:before="40" w:after="40"/>
              <w:rPr>
                <w:rFonts w:ascii="Garamond" w:hAnsi="Garamond"/>
                <w:bCs/>
                <w:sz w:val="20"/>
                <w:szCs w:val="20"/>
              </w:rPr>
            </w:pPr>
            <w:r w:rsidRPr="005C48F3">
              <w:rPr>
                <w:rFonts w:ascii="Garamond" w:hAnsi="Garamond"/>
                <w:bCs/>
                <w:sz w:val="20"/>
                <w:szCs w:val="20"/>
              </w:rPr>
              <w:t>Angela goes to her friend Clair’s house. Angela trades her pencil for Clair’s eraser.</w:t>
            </w:r>
          </w:p>
        </w:tc>
        <w:tc>
          <w:tcPr>
            <w:tcW w:w="2070" w:type="dxa"/>
            <w:gridSpan w:val="2"/>
            <w:tcBorders>
              <w:bottom w:val="nil"/>
            </w:tcBorders>
            <w:vAlign w:val="center"/>
          </w:tcPr>
          <w:p w14:paraId="6D7B164B" w14:textId="3C48C032" w:rsidR="00930983" w:rsidRPr="008137EF" w:rsidRDefault="00930983" w:rsidP="00930983">
            <w:pPr>
              <w:spacing w:line="276" w:lineRule="auto"/>
              <w:jc w:val="center"/>
              <w:rPr>
                <w:rFonts w:ascii="Garamond" w:hAnsi="Garamond"/>
                <w:bCs/>
              </w:rPr>
            </w:pPr>
            <w:r>
              <w:rPr>
                <w:rFonts w:ascii="Garamond" w:hAnsi="Garamond"/>
                <w:bCs/>
              </w:rPr>
              <w:t>0.38</w:t>
            </w:r>
          </w:p>
        </w:tc>
        <w:tc>
          <w:tcPr>
            <w:tcW w:w="1170" w:type="dxa"/>
            <w:tcBorders>
              <w:bottom w:val="nil"/>
              <w:right w:val="nil"/>
            </w:tcBorders>
            <w:vAlign w:val="center"/>
          </w:tcPr>
          <w:p w14:paraId="40B2AC07" w14:textId="27C8338E" w:rsidR="00930983" w:rsidRPr="008137EF" w:rsidRDefault="00930983" w:rsidP="00930983">
            <w:pPr>
              <w:spacing w:line="276" w:lineRule="auto"/>
              <w:jc w:val="center"/>
              <w:rPr>
                <w:rFonts w:ascii="Garamond" w:hAnsi="Garamond"/>
                <w:bCs/>
              </w:rPr>
            </w:pPr>
            <w:r>
              <w:rPr>
                <w:rFonts w:ascii="Garamond" w:hAnsi="Garamond"/>
                <w:bCs/>
              </w:rPr>
              <w:t>32.6%</w:t>
            </w:r>
          </w:p>
        </w:tc>
        <w:tc>
          <w:tcPr>
            <w:tcW w:w="1629" w:type="dxa"/>
            <w:tcBorders>
              <w:left w:val="nil"/>
              <w:bottom w:val="nil"/>
              <w:right w:val="nil"/>
            </w:tcBorders>
            <w:vAlign w:val="center"/>
          </w:tcPr>
          <w:p w14:paraId="217E52F3" w14:textId="60821BEC" w:rsidR="00930983" w:rsidRPr="008137EF" w:rsidRDefault="00930983" w:rsidP="00930983">
            <w:pPr>
              <w:spacing w:line="276" w:lineRule="auto"/>
              <w:jc w:val="center"/>
              <w:rPr>
                <w:rFonts w:ascii="Garamond" w:hAnsi="Garamond"/>
                <w:bCs/>
              </w:rPr>
            </w:pPr>
            <w:r>
              <w:rPr>
                <w:rFonts w:ascii="Garamond" w:hAnsi="Garamond"/>
                <w:bCs/>
              </w:rPr>
              <w:t>18.6%</w:t>
            </w:r>
          </w:p>
        </w:tc>
        <w:tc>
          <w:tcPr>
            <w:tcW w:w="1341" w:type="dxa"/>
            <w:gridSpan w:val="3"/>
            <w:tcBorders>
              <w:left w:val="nil"/>
              <w:bottom w:val="nil"/>
            </w:tcBorders>
            <w:vAlign w:val="center"/>
          </w:tcPr>
          <w:p w14:paraId="0640F5EB" w14:textId="5480D5D3" w:rsidR="00930983" w:rsidRPr="008137EF" w:rsidRDefault="00930983" w:rsidP="00930983">
            <w:pPr>
              <w:spacing w:line="276" w:lineRule="auto"/>
              <w:jc w:val="center"/>
              <w:rPr>
                <w:rFonts w:ascii="Garamond" w:hAnsi="Garamond"/>
                <w:bCs/>
              </w:rPr>
            </w:pPr>
            <w:r>
              <w:rPr>
                <w:rFonts w:ascii="Garamond" w:hAnsi="Garamond"/>
                <w:bCs/>
              </w:rPr>
              <w:t>32.6%</w:t>
            </w:r>
          </w:p>
        </w:tc>
      </w:tr>
      <w:tr w:rsidR="00930983" w:rsidRPr="008137EF" w14:paraId="160D574A" w14:textId="77777777" w:rsidTr="00E263A7">
        <w:trPr>
          <w:jc w:val="center"/>
        </w:trPr>
        <w:tc>
          <w:tcPr>
            <w:tcW w:w="3960" w:type="dxa"/>
            <w:tcBorders>
              <w:left w:val="nil"/>
              <w:bottom w:val="nil"/>
            </w:tcBorders>
          </w:tcPr>
          <w:p w14:paraId="41DF2DBF" w14:textId="0690E515" w:rsidR="00930983" w:rsidRPr="005C48F3" w:rsidRDefault="00930983" w:rsidP="005C48F3">
            <w:pPr>
              <w:spacing w:before="40" w:after="40"/>
              <w:rPr>
                <w:rFonts w:ascii="Garamond" w:hAnsi="Garamond"/>
                <w:bCs/>
                <w:sz w:val="20"/>
                <w:szCs w:val="20"/>
              </w:rPr>
            </w:pPr>
            <w:r w:rsidRPr="005C48F3">
              <w:rPr>
                <w:rFonts w:ascii="Garamond" w:hAnsi="Garamond"/>
                <w:bCs/>
                <w:sz w:val="20"/>
                <w:szCs w:val="20"/>
              </w:rPr>
              <w:t>Maria goes to her cousin Ivy’s house. Maria trades her Kate Spate crossbody bag for Ivy’s Michael Kors crossbody bag.</w:t>
            </w:r>
          </w:p>
        </w:tc>
        <w:tc>
          <w:tcPr>
            <w:tcW w:w="2070" w:type="dxa"/>
            <w:gridSpan w:val="2"/>
            <w:tcBorders>
              <w:bottom w:val="nil"/>
            </w:tcBorders>
            <w:vAlign w:val="center"/>
          </w:tcPr>
          <w:p w14:paraId="4B079AA9" w14:textId="19AE47CA" w:rsidR="00930983" w:rsidRPr="008137EF" w:rsidRDefault="00930983" w:rsidP="00930983">
            <w:pPr>
              <w:spacing w:line="276" w:lineRule="auto"/>
              <w:jc w:val="center"/>
              <w:rPr>
                <w:rFonts w:ascii="Garamond" w:hAnsi="Garamond"/>
                <w:bCs/>
              </w:rPr>
            </w:pPr>
            <w:r>
              <w:rPr>
                <w:rFonts w:ascii="Garamond" w:hAnsi="Garamond"/>
                <w:bCs/>
              </w:rPr>
              <w:t>0.63</w:t>
            </w:r>
          </w:p>
        </w:tc>
        <w:tc>
          <w:tcPr>
            <w:tcW w:w="1170" w:type="dxa"/>
            <w:tcBorders>
              <w:bottom w:val="nil"/>
              <w:right w:val="nil"/>
            </w:tcBorders>
            <w:vAlign w:val="center"/>
          </w:tcPr>
          <w:p w14:paraId="29EAC0B2" w14:textId="2E8155B6" w:rsidR="00930983" w:rsidRPr="008137EF" w:rsidRDefault="00930983" w:rsidP="00930983">
            <w:pPr>
              <w:spacing w:line="276" w:lineRule="auto"/>
              <w:jc w:val="center"/>
              <w:rPr>
                <w:rFonts w:ascii="Garamond" w:hAnsi="Garamond"/>
                <w:bCs/>
              </w:rPr>
            </w:pPr>
            <w:r>
              <w:rPr>
                <w:rFonts w:ascii="Garamond" w:hAnsi="Garamond"/>
                <w:bCs/>
              </w:rPr>
              <w:t>27.9%</w:t>
            </w:r>
          </w:p>
        </w:tc>
        <w:tc>
          <w:tcPr>
            <w:tcW w:w="1629" w:type="dxa"/>
            <w:tcBorders>
              <w:left w:val="nil"/>
              <w:bottom w:val="nil"/>
              <w:right w:val="nil"/>
            </w:tcBorders>
            <w:vAlign w:val="center"/>
          </w:tcPr>
          <w:p w14:paraId="2DEF2B01" w14:textId="0757C82C" w:rsidR="00930983" w:rsidRPr="008137EF" w:rsidRDefault="00930983" w:rsidP="00930983">
            <w:pPr>
              <w:spacing w:line="276" w:lineRule="auto"/>
              <w:jc w:val="center"/>
              <w:rPr>
                <w:rFonts w:ascii="Garamond" w:hAnsi="Garamond"/>
                <w:bCs/>
              </w:rPr>
            </w:pPr>
            <w:r>
              <w:rPr>
                <w:rFonts w:ascii="Garamond" w:hAnsi="Garamond"/>
                <w:bCs/>
              </w:rPr>
              <w:t>29.1%</w:t>
            </w:r>
          </w:p>
        </w:tc>
        <w:tc>
          <w:tcPr>
            <w:tcW w:w="1341" w:type="dxa"/>
            <w:gridSpan w:val="3"/>
            <w:tcBorders>
              <w:left w:val="nil"/>
              <w:bottom w:val="nil"/>
            </w:tcBorders>
            <w:vAlign w:val="center"/>
          </w:tcPr>
          <w:p w14:paraId="4B51A3FF" w14:textId="4F9AB0F4" w:rsidR="00930983" w:rsidRDefault="00930983" w:rsidP="00930983">
            <w:pPr>
              <w:spacing w:line="276" w:lineRule="auto"/>
              <w:jc w:val="center"/>
              <w:rPr>
                <w:rFonts w:ascii="Garamond" w:hAnsi="Garamond"/>
                <w:bCs/>
              </w:rPr>
            </w:pPr>
            <w:r>
              <w:rPr>
                <w:rFonts w:ascii="Garamond" w:hAnsi="Garamond"/>
                <w:bCs/>
              </w:rPr>
              <w:t>34.9%</w:t>
            </w:r>
          </w:p>
        </w:tc>
      </w:tr>
      <w:tr w:rsidR="00930983" w:rsidRPr="008137EF" w14:paraId="4359DE5C" w14:textId="77777777" w:rsidTr="00E263A7">
        <w:trPr>
          <w:jc w:val="center"/>
        </w:trPr>
        <w:tc>
          <w:tcPr>
            <w:tcW w:w="3960" w:type="dxa"/>
            <w:tcBorders>
              <w:left w:val="nil"/>
              <w:bottom w:val="single" w:sz="4" w:space="0" w:color="auto"/>
            </w:tcBorders>
          </w:tcPr>
          <w:p w14:paraId="18DA69B5" w14:textId="46D1D47D" w:rsidR="00930983" w:rsidRPr="005C48F3" w:rsidRDefault="00930983" w:rsidP="005C48F3">
            <w:pPr>
              <w:spacing w:before="40" w:after="40"/>
              <w:rPr>
                <w:rFonts w:ascii="Garamond" w:hAnsi="Garamond"/>
                <w:bCs/>
                <w:sz w:val="20"/>
                <w:szCs w:val="20"/>
              </w:rPr>
            </w:pPr>
            <w:r w:rsidRPr="005C48F3">
              <w:rPr>
                <w:rFonts w:ascii="Garamond" w:hAnsi="Garamond"/>
                <w:bCs/>
                <w:sz w:val="20"/>
                <w:szCs w:val="20"/>
              </w:rPr>
              <w:t>Vivian goes to her colleague Tommy’s office. She trades her Burger King hamburger for Tommy’s McDonald’s hamburger.</w:t>
            </w:r>
          </w:p>
        </w:tc>
        <w:tc>
          <w:tcPr>
            <w:tcW w:w="2070" w:type="dxa"/>
            <w:gridSpan w:val="2"/>
            <w:tcBorders>
              <w:bottom w:val="single" w:sz="4" w:space="0" w:color="auto"/>
            </w:tcBorders>
            <w:vAlign w:val="center"/>
          </w:tcPr>
          <w:p w14:paraId="0CCDC3AC" w14:textId="7A3830AB" w:rsidR="00930983" w:rsidRPr="008137EF" w:rsidRDefault="00930983" w:rsidP="00930983">
            <w:pPr>
              <w:spacing w:line="276" w:lineRule="auto"/>
              <w:jc w:val="center"/>
              <w:rPr>
                <w:rFonts w:ascii="Garamond" w:hAnsi="Garamond"/>
                <w:bCs/>
              </w:rPr>
            </w:pPr>
            <w:r>
              <w:rPr>
                <w:rFonts w:ascii="Garamond" w:hAnsi="Garamond"/>
                <w:bCs/>
              </w:rPr>
              <w:t>0.46</w:t>
            </w:r>
          </w:p>
        </w:tc>
        <w:tc>
          <w:tcPr>
            <w:tcW w:w="1170" w:type="dxa"/>
            <w:tcBorders>
              <w:bottom w:val="single" w:sz="4" w:space="0" w:color="auto"/>
              <w:right w:val="nil"/>
            </w:tcBorders>
            <w:vAlign w:val="center"/>
          </w:tcPr>
          <w:p w14:paraId="0E160499" w14:textId="0E89C505" w:rsidR="00930983" w:rsidRPr="008137EF" w:rsidRDefault="00930983" w:rsidP="00930983">
            <w:pPr>
              <w:spacing w:line="276" w:lineRule="auto"/>
              <w:jc w:val="center"/>
              <w:rPr>
                <w:rFonts w:ascii="Garamond" w:hAnsi="Garamond"/>
                <w:bCs/>
              </w:rPr>
            </w:pPr>
            <w:r>
              <w:rPr>
                <w:rFonts w:ascii="Garamond" w:hAnsi="Garamond"/>
                <w:bCs/>
              </w:rPr>
              <w:t>29.1%</w:t>
            </w:r>
          </w:p>
        </w:tc>
        <w:tc>
          <w:tcPr>
            <w:tcW w:w="1629" w:type="dxa"/>
            <w:tcBorders>
              <w:left w:val="nil"/>
              <w:bottom w:val="single" w:sz="4" w:space="0" w:color="auto"/>
              <w:right w:val="nil"/>
            </w:tcBorders>
            <w:vAlign w:val="center"/>
          </w:tcPr>
          <w:p w14:paraId="7DBB0BC3" w14:textId="1A5F181B" w:rsidR="00930983" w:rsidRPr="008137EF" w:rsidRDefault="00930983" w:rsidP="00930983">
            <w:pPr>
              <w:spacing w:line="276" w:lineRule="auto"/>
              <w:jc w:val="center"/>
              <w:rPr>
                <w:rFonts w:ascii="Garamond" w:hAnsi="Garamond"/>
                <w:bCs/>
              </w:rPr>
            </w:pPr>
            <w:r>
              <w:rPr>
                <w:rFonts w:ascii="Garamond" w:hAnsi="Garamond"/>
                <w:bCs/>
              </w:rPr>
              <w:t>25.6%</w:t>
            </w:r>
          </w:p>
        </w:tc>
        <w:tc>
          <w:tcPr>
            <w:tcW w:w="1341" w:type="dxa"/>
            <w:gridSpan w:val="3"/>
            <w:tcBorders>
              <w:left w:val="nil"/>
              <w:bottom w:val="single" w:sz="4" w:space="0" w:color="auto"/>
            </w:tcBorders>
            <w:vAlign w:val="center"/>
          </w:tcPr>
          <w:p w14:paraId="0BBF4229" w14:textId="288A9C74" w:rsidR="00930983" w:rsidRPr="008137EF" w:rsidRDefault="00930983" w:rsidP="00930983">
            <w:pPr>
              <w:spacing w:line="276" w:lineRule="auto"/>
              <w:jc w:val="center"/>
              <w:rPr>
                <w:rFonts w:ascii="Garamond" w:hAnsi="Garamond"/>
                <w:bCs/>
              </w:rPr>
            </w:pPr>
            <w:r>
              <w:rPr>
                <w:rFonts w:ascii="Garamond" w:hAnsi="Garamond"/>
                <w:bCs/>
              </w:rPr>
              <w:t>37.2%</w:t>
            </w:r>
          </w:p>
        </w:tc>
      </w:tr>
      <w:tr w:rsidR="005C48F3" w:rsidRPr="008137EF" w14:paraId="4833E24C" w14:textId="77777777" w:rsidTr="006B16E3">
        <w:trPr>
          <w:gridAfter w:val="2"/>
          <w:wAfter w:w="21" w:type="dxa"/>
          <w:trHeight w:val="458"/>
          <w:jc w:val="center"/>
        </w:trPr>
        <w:tc>
          <w:tcPr>
            <w:tcW w:w="10149" w:type="dxa"/>
            <w:gridSpan w:val="6"/>
            <w:tcBorders>
              <w:top w:val="single" w:sz="4" w:space="0" w:color="auto"/>
              <w:left w:val="nil"/>
              <w:bottom w:val="nil"/>
            </w:tcBorders>
          </w:tcPr>
          <w:p w14:paraId="438E0AF8" w14:textId="77777777" w:rsidR="005C48F3" w:rsidRPr="00273AC3" w:rsidRDefault="005C48F3" w:rsidP="005C48F3">
            <w:pPr>
              <w:spacing w:line="276" w:lineRule="auto"/>
              <w:rPr>
                <w:rFonts w:ascii="Garamond" w:hAnsi="Garamond"/>
                <w:b/>
                <w:bCs/>
                <w:sz w:val="10"/>
                <w:szCs w:val="10"/>
              </w:rPr>
            </w:pPr>
          </w:p>
          <w:p w14:paraId="3B47AFE6" w14:textId="2FEA7B5A" w:rsidR="005C48F3" w:rsidRPr="008137EF" w:rsidRDefault="005C48F3" w:rsidP="005C48F3">
            <w:pPr>
              <w:spacing w:line="276" w:lineRule="auto"/>
              <w:rPr>
                <w:rFonts w:ascii="Garamond" w:hAnsi="Garamond"/>
                <w:bCs/>
                <w:i/>
              </w:rPr>
            </w:pPr>
            <w:r w:rsidRPr="008137EF">
              <w:rPr>
                <w:rFonts w:ascii="Garamond" w:hAnsi="Garamond"/>
                <w:b/>
                <w:bCs/>
              </w:rPr>
              <w:t xml:space="preserve">Table </w:t>
            </w:r>
            <w:r>
              <w:rPr>
                <w:rFonts w:ascii="Garamond" w:hAnsi="Garamond"/>
                <w:b/>
                <w:bCs/>
              </w:rPr>
              <w:t>S1</w:t>
            </w:r>
            <w:r w:rsidRPr="008137EF">
              <w:rPr>
                <w:rFonts w:ascii="Garamond" w:hAnsi="Garamond"/>
                <w:bCs/>
              </w:rPr>
              <w:t xml:space="preserve">. </w:t>
            </w:r>
            <w:r>
              <w:rPr>
                <w:rFonts w:ascii="Garamond" w:hAnsi="Garamond"/>
                <w:bCs/>
              </w:rPr>
              <w:t>Study 1 Stimuli and Results Details</w:t>
            </w:r>
            <w:r w:rsidRPr="008137EF">
              <w:rPr>
                <w:rFonts w:ascii="Garamond" w:hAnsi="Garamond"/>
                <w:bCs/>
              </w:rPr>
              <w:t>.</w:t>
            </w:r>
          </w:p>
        </w:tc>
      </w:tr>
      <w:tr w:rsidR="005C48F3" w:rsidRPr="008137EF" w14:paraId="26D8DC3D" w14:textId="77777777" w:rsidTr="005C48F3">
        <w:trPr>
          <w:gridAfter w:val="2"/>
          <w:wAfter w:w="21" w:type="dxa"/>
          <w:trHeight w:val="315"/>
          <w:jc w:val="center"/>
        </w:trPr>
        <w:tc>
          <w:tcPr>
            <w:tcW w:w="10149" w:type="dxa"/>
            <w:gridSpan w:val="6"/>
            <w:tcBorders>
              <w:top w:val="nil"/>
              <w:left w:val="nil"/>
              <w:bottom w:val="nil"/>
              <w:right w:val="nil"/>
            </w:tcBorders>
          </w:tcPr>
          <w:p w14:paraId="097D4BFD" w14:textId="48199E76" w:rsidR="005C48F3" w:rsidRPr="00273AC3" w:rsidRDefault="005C48F3" w:rsidP="005C48F3">
            <w:pPr>
              <w:spacing w:line="276" w:lineRule="auto"/>
              <w:jc w:val="both"/>
              <w:rPr>
                <w:rFonts w:ascii="Garamond" w:hAnsi="Garamond"/>
                <w:bCs/>
                <w:sz w:val="18"/>
                <w:szCs w:val="18"/>
              </w:rPr>
            </w:pPr>
            <w:r w:rsidRPr="008137EF">
              <w:rPr>
                <w:rFonts w:ascii="Garamond" w:hAnsi="Garamond"/>
                <w:bCs/>
                <w:i/>
                <w:sz w:val="18"/>
                <w:szCs w:val="18"/>
              </w:rPr>
              <w:t>Note.</w:t>
            </w:r>
            <w:r w:rsidRPr="008137EF">
              <w:rPr>
                <w:rFonts w:ascii="Garamond" w:hAnsi="Garamond"/>
                <w:b/>
                <w:bCs/>
                <w:sz w:val="18"/>
                <w:szCs w:val="18"/>
              </w:rPr>
              <w:t xml:space="preserve"> </w:t>
            </w:r>
            <w:r>
              <w:rPr>
                <w:rFonts w:ascii="Garamond" w:hAnsi="Garamond"/>
                <w:bCs/>
                <w:sz w:val="18"/>
                <w:szCs w:val="18"/>
              </w:rPr>
              <w:t xml:space="preserve">Entries in the “Means” columns are the means for buyers and sellers (for the monetary transactions) and for traders (averaged across the two parties for barters). Entries in the “Transaction Types” columns are the proportion of times that participants categorized each transaction as win–win (positive scores for both parties), win–lose (for monetary transactions, positive scores for the seller and negative scores for the buyer; for barters, positive scores for one party and negative scores for the other), or zero–zero (scores of zero for both parties), calculated as in Table 1 in the main text. No other transaction type had greater than </w:t>
            </w:r>
            <w:r w:rsidR="009675E1">
              <w:rPr>
                <w:rFonts w:ascii="Garamond" w:hAnsi="Garamond"/>
                <w:bCs/>
                <w:sz w:val="18"/>
                <w:szCs w:val="18"/>
              </w:rPr>
              <w:t>7</w:t>
            </w:r>
            <w:r>
              <w:rPr>
                <w:rFonts w:ascii="Garamond" w:hAnsi="Garamond"/>
                <w:bCs/>
                <w:sz w:val="18"/>
                <w:szCs w:val="18"/>
              </w:rPr>
              <w:t>% prevalence for any item (see Table 1</w:t>
            </w:r>
            <w:r w:rsidR="006B16E3">
              <w:rPr>
                <w:rFonts w:ascii="Garamond" w:hAnsi="Garamond"/>
                <w:bCs/>
                <w:sz w:val="18"/>
                <w:szCs w:val="18"/>
              </w:rPr>
              <w:t xml:space="preserve"> in the main text</w:t>
            </w:r>
            <w:r>
              <w:rPr>
                <w:rFonts w:ascii="Garamond" w:hAnsi="Garamond"/>
                <w:bCs/>
                <w:sz w:val="18"/>
                <w:szCs w:val="18"/>
              </w:rPr>
              <w:t xml:space="preserve"> for aggregated data).</w:t>
            </w:r>
          </w:p>
        </w:tc>
      </w:tr>
    </w:tbl>
    <w:p w14:paraId="279A3277" w14:textId="2072704F" w:rsidR="00DC6BD0" w:rsidRDefault="00735B3E" w:rsidP="006B16E3">
      <w:pPr>
        <w:spacing w:line="276" w:lineRule="auto"/>
        <w:jc w:val="center"/>
        <w:rPr>
          <w:rFonts w:ascii="Garamond" w:hAnsi="Garamond"/>
          <w:b/>
          <w:bCs/>
          <w:sz w:val="28"/>
          <w:szCs w:val="28"/>
        </w:rPr>
      </w:pPr>
      <w:r>
        <w:rPr>
          <w:rFonts w:ascii="Garamond" w:hAnsi="Garamond"/>
          <w:b/>
          <w:bCs/>
          <w:sz w:val="28"/>
          <w:szCs w:val="28"/>
        </w:rPr>
        <w:lastRenderedPageBreak/>
        <w:t>Part</w:t>
      </w:r>
      <w:r w:rsidR="00EA11CF">
        <w:rPr>
          <w:rFonts w:ascii="Garamond" w:hAnsi="Garamond"/>
          <w:b/>
          <w:bCs/>
          <w:sz w:val="28"/>
          <w:szCs w:val="28"/>
        </w:rPr>
        <w:t xml:space="preserve"> </w:t>
      </w:r>
      <w:r w:rsidR="005C48F3">
        <w:rPr>
          <w:rFonts w:ascii="Garamond" w:hAnsi="Garamond"/>
          <w:b/>
          <w:bCs/>
          <w:sz w:val="28"/>
          <w:szCs w:val="28"/>
        </w:rPr>
        <w:t>B</w:t>
      </w:r>
      <w:r w:rsidR="00DC6BD0">
        <w:rPr>
          <w:rFonts w:ascii="Garamond" w:hAnsi="Garamond"/>
          <w:b/>
          <w:bCs/>
          <w:sz w:val="28"/>
          <w:szCs w:val="28"/>
        </w:rPr>
        <w:t>: Supplementary Studies</w:t>
      </w:r>
    </w:p>
    <w:p w14:paraId="618EB4F4" w14:textId="77777777" w:rsidR="00DC6BD0" w:rsidRPr="008F1493" w:rsidRDefault="00DC6BD0" w:rsidP="00277F3F">
      <w:pPr>
        <w:spacing w:line="276" w:lineRule="auto"/>
        <w:jc w:val="center"/>
        <w:rPr>
          <w:rFonts w:ascii="Garamond" w:hAnsi="Garamond"/>
          <w:b/>
          <w:bCs/>
        </w:rPr>
      </w:pPr>
    </w:p>
    <w:p w14:paraId="4C30AB3B" w14:textId="38027321" w:rsidR="00FB0675" w:rsidRDefault="00277F3F" w:rsidP="00FB0675">
      <w:pPr>
        <w:spacing w:line="276" w:lineRule="auto"/>
        <w:rPr>
          <w:rFonts w:ascii="Garamond" w:hAnsi="Garamond"/>
          <w:b/>
          <w:bCs/>
        </w:rPr>
      </w:pPr>
      <w:r w:rsidRPr="00C036E1">
        <w:rPr>
          <w:rFonts w:ascii="Garamond" w:hAnsi="Garamond"/>
          <w:b/>
          <w:bCs/>
        </w:rPr>
        <w:t>Study S1: Replication of Study 1 with “Benefit” Wording</w:t>
      </w:r>
    </w:p>
    <w:p w14:paraId="501E3A5F" w14:textId="77777777" w:rsidR="00B23F0B" w:rsidRDefault="00B23F0B" w:rsidP="00221273">
      <w:pPr>
        <w:spacing w:line="276" w:lineRule="auto"/>
        <w:ind w:firstLine="360"/>
        <w:jc w:val="both"/>
        <w:rPr>
          <w:rFonts w:ascii="Garamond" w:hAnsi="Garamond"/>
          <w:bCs/>
        </w:rPr>
      </w:pPr>
    </w:p>
    <w:p w14:paraId="5DF289C3" w14:textId="06B9A49B" w:rsidR="00221273" w:rsidRDefault="00221273" w:rsidP="00221273">
      <w:pPr>
        <w:spacing w:line="276" w:lineRule="auto"/>
        <w:ind w:firstLine="360"/>
        <w:jc w:val="both"/>
        <w:rPr>
          <w:rFonts w:ascii="Garamond" w:hAnsi="Garamond"/>
          <w:bCs/>
        </w:rPr>
      </w:pPr>
      <w:r>
        <w:rPr>
          <w:rFonts w:ascii="Garamond" w:hAnsi="Garamond"/>
          <w:bCs/>
        </w:rPr>
        <w:t xml:space="preserve">One potential concern about our studies is that participants are misinterpreting the terms “better off” and “worse off.” These terms are used by economists to refer to improvements and decrements in an individual’s overall </w:t>
      </w:r>
      <w:r w:rsidR="00D47E71">
        <w:rPr>
          <w:rFonts w:ascii="Garamond" w:hAnsi="Garamond"/>
          <w:bCs/>
        </w:rPr>
        <w:t>welfare</w:t>
      </w:r>
      <w:r>
        <w:rPr>
          <w:rFonts w:ascii="Garamond" w:hAnsi="Garamond"/>
          <w:bCs/>
        </w:rPr>
        <w:t xml:space="preserve">. However, in common parlance these terms might be used at times to refer to specifically </w:t>
      </w:r>
      <w:r>
        <w:rPr>
          <w:rFonts w:ascii="Garamond" w:hAnsi="Garamond"/>
          <w:bCs/>
          <w:i/>
        </w:rPr>
        <w:t xml:space="preserve">financial </w:t>
      </w:r>
      <w:r>
        <w:rPr>
          <w:rFonts w:ascii="Garamond" w:hAnsi="Garamond"/>
          <w:bCs/>
        </w:rPr>
        <w:t xml:space="preserve">well-being, as opposed to overall well-being. If participants are misinterpreting the terms in this way, it is no surprise that they would look like mercantilists, “overvaluing” money, since they interpret the question as referring </w:t>
      </w:r>
      <w:r>
        <w:rPr>
          <w:rFonts w:ascii="Garamond" w:hAnsi="Garamond"/>
          <w:bCs/>
          <w:i/>
        </w:rPr>
        <w:t>only</w:t>
      </w:r>
      <w:r>
        <w:rPr>
          <w:rFonts w:ascii="Garamond" w:hAnsi="Garamond"/>
          <w:bCs/>
        </w:rPr>
        <w:t xml:space="preserve"> to money.</w:t>
      </w:r>
    </w:p>
    <w:p w14:paraId="0F1073FD" w14:textId="1AEC81A3" w:rsidR="00221273" w:rsidRDefault="00221273" w:rsidP="00221273">
      <w:pPr>
        <w:spacing w:line="276" w:lineRule="auto"/>
        <w:ind w:firstLine="360"/>
        <w:jc w:val="both"/>
        <w:rPr>
          <w:rFonts w:ascii="Garamond" w:hAnsi="Garamond"/>
          <w:bCs/>
        </w:rPr>
      </w:pPr>
      <w:r>
        <w:rPr>
          <w:rFonts w:ascii="Garamond" w:hAnsi="Garamond"/>
          <w:bCs/>
        </w:rPr>
        <w:t>To rule out this concern, we used an alternative phrasing of the key dependent measure, asking if the buyers, sellers, and traders “benefited” from the transactions. This wording in fact stacks the deck in the opposite direction, since one could (in principle) answer this question affirmatively if one thinks a buyer benefitted to some degree but not to an extent worth the cost—such a buyer still “benefited” from the transaction, just not on balance. Thus, although we anticipated that people would be more likely to give affirmative responses to this question overall, we should still see the same asymmetries among buyers, sellers, and traders seen in Study 1.</w:t>
      </w:r>
    </w:p>
    <w:p w14:paraId="186A3BFF" w14:textId="77777777" w:rsidR="00B23F0B" w:rsidRDefault="00B23F0B" w:rsidP="00221273">
      <w:pPr>
        <w:spacing w:line="276" w:lineRule="auto"/>
        <w:ind w:firstLine="360"/>
        <w:jc w:val="both"/>
        <w:rPr>
          <w:rFonts w:ascii="Garamond" w:hAnsi="Garamond"/>
          <w:bCs/>
        </w:rPr>
      </w:pPr>
    </w:p>
    <w:p w14:paraId="3C1C7FCE" w14:textId="77777777" w:rsidR="00B23F0B" w:rsidRPr="00221273" w:rsidRDefault="00B23F0B" w:rsidP="00A617DA">
      <w:pPr>
        <w:spacing w:line="276" w:lineRule="auto"/>
        <w:ind w:firstLine="360"/>
        <w:jc w:val="both"/>
        <w:rPr>
          <w:rFonts w:ascii="Garamond" w:hAnsi="Garamond"/>
        </w:rPr>
      </w:pPr>
      <w:r w:rsidRPr="00FB0675">
        <w:rPr>
          <w:rFonts w:ascii="Garamond" w:hAnsi="Garamond"/>
          <w:b/>
          <w:bCs/>
        </w:rPr>
        <w:t>Methods.</w:t>
      </w:r>
      <w:r w:rsidRPr="00FB0675">
        <w:rPr>
          <w:rFonts w:ascii="Garamond" w:hAnsi="Garamond"/>
          <w:bCs/>
        </w:rPr>
        <w:t xml:space="preserve"> </w:t>
      </w:r>
      <w:r>
        <w:rPr>
          <w:rFonts w:ascii="Garamond" w:hAnsi="Garamond"/>
          <w:bCs/>
        </w:rPr>
        <w:t>We recruited 100 participants (</w:t>
      </w:r>
      <w:r>
        <w:rPr>
          <w:rFonts w:ascii="Garamond" w:hAnsi="Garamond"/>
          <w:bCs/>
          <w:i/>
        </w:rPr>
        <w:t>M</w:t>
      </w:r>
      <w:r>
        <w:rPr>
          <w:rFonts w:ascii="Garamond" w:hAnsi="Garamond"/>
          <w:bCs/>
          <w:vertAlign w:val="subscript"/>
        </w:rPr>
        <w:t>age</w:t>
      </w:r>
      <w:r>
        <w:rPr>
          <w:rFonts w:ascii="Garamond" w:hAnsi="Garamond"/>
          <w:bCs/>
        </w:rPr>
        <w:t xml:space="preserve"> = 37.6, 62% female, 55% college educated) from Mechanical Turk; </w:t>
      </w:r>
      <w:r>
        <w:rPr>
          <w:rFonts w:ascii="Garamond" w:hAnsi="Garamond"/>
        </w:rPr>
        <w:t>15 were excluded from analysis based on the criterion used in the other studies.</w:t>
      </w:r>
    </w:p>
    <w:p w14:paraId="2C5FCE7D" w14:textId="77777777" w:rsidR="00B23F0B" w:rsidRDefault="00B23F0B" w:rsidP="00A617DA">
      <w:pPr>
        <w:spacing w:line="276" w:lineRule="auto"/>
        <w:ind w:firstLine="360"/>
        <w:jc w:val="both"/>
        <w:rPr>
          <w:rFonts w:ascii="Garamond" w:hAnsi="Garamond"/>
          <w:bCs/>
        </w:rPr>
      </w:pPr>
      <w:r>
        <w:rPr>
          <w:rFonts w:ascii="Garamond" w:hAnsi="Garamond"/>
          <w:bCs/>
        </w:rPr>
        <w:t>The method was identical to Study 1, except that participants were asked “To what extent do you think [</w:t>
      </w:r>
      <w:r w:rsidRPr="00996872">
        <w:rPr>
          <w:rFonts w:ascii="Garamond" w:hAnsi="Garamond"/>
          <w:bCs/>
          <w:i/>
        </w:rPr>
        <w:t>buyer</w:t>
      </w:r>
      <w:r>
        <w:rPr>
          <w:rFonts w:ascii="Garamond" w:hAnsi="Garamond"/>
          <w:bCs/>
        </w:rPr>
        <w:t xml:space="preserve"> / </w:t>
      </w:r>
      <w:r w:rsidRPr="00996872">
        <w:rPr>
          <w:rFonts w:ascii="Garamond" w:hAnsi="Garamond"/>
          <w:bCs/>
          <w:i/>
        </w:rPr>
        <w:t>seller</w:t>
      </w:r>
      <w:r>
        <w:rPr>
          <w:rFonts w:ascii="Garamond" w:hAnsi="Garamond"/>
          <w:bCs/>
        </w:rPr>
        <w:t xml:space="preserve"> / </w:t>
      </w:r>
      <w:r w:rsidRPr="00996872">
        <w:rPr>
          <w:rFonts w:ascii="Garamond" w:hAnsi="Garamond"/>
          <w:bCs/>
          <w:i/>
        </w:rPr>
        <w:t>trader</w:t>
      </w:r>
      <w:r>
        <w:rPr>
          <w:rFonts w:ascii="Garamond" w:hAnsi="Garamond"/>
          <w:bCs/>
        </w:rPr>
        <w:t>] benefited from this transaction?” for each transaction party, instead of the Study 1 phrasing of “</w:t>
      </w:r>
      <w:r w:rsidRPr="00996872">
        <w:rPr>
          <w:rFonts w:ascii="Garamond" w:hAnsi="Garamond"/>
          <w:bCs/>
        </w:rPr>
        <w:t xml:space="preserve">How well off do you think </w:t>
      </w:r>
      <w:r>
        <w:rPr>
          <w:rFonts w:ascii="Garamond" w:hAnsi="Garamond"/>
          <w:bCs/>
        </w:rPr>
        <w:t>[</w:t>
      </w:r>
      <w:r w:rsidRPr="00996872">
        <w:rPr>
          <w:rFonts w:ascii="Garamond" w:hAnsi="Garamond"/>
          <w:bCs/>
          <w:i/>
        </w:rPr>
        <w:t>buyer</w:t>
      </w:r>
      <w:r>
        <w:rPr>
          <w:rFonts w:ascii="Garamond" w:hAnsi="Garamond"/>
          <w:bCs/>
        </w:rPr>
        <w:t xml:space="preserve"> / </w:t>
      </w:r>
      <w:r w:rsidRPr="00996872">
        <w:rPr>
          <w:rFonts w:ascii="Garamond" w:hAnsi="Garamond"/>
          <w:bCs/>
          <w:i/>
        </w:rPr>
        <w:t>seller</w:t>
      </w:r>
      <w:r>
        <w:rPr>
          <w:rFonts w:ascii="Garamond" w:hAnsi="Garamond"/>
          <w:bCs/>
        </w:rPr>
        <w:t xml:space="preserve"> / </w:t>
      </w:r>
      <w:r w:rsidRPr="00996872">
        <w:rPr>
          <w:rFonts w:ascii="Garamond" w:hAnsi="Garamond"/>
          <w:bCs/>
          <w:i/>
        </w:rPr>
        <w:t>trader</w:t>
      </w:r>
      <w:r>
        <w:rPr>
          <w:rFonts w:ascii="Garamond" w:hAnsi="Garamond"/>
          <w:bCs/>
        </w:rPr>
        <w:t xml:space="preserve">] </w:t>
      </w:r>
      <w:r w:rsidRPr="00996872">
        <w:rPr>
          <w:rFonts w:ascii="Garamond" w:hAnsi="Garamond"/>
          <w:bCs/>
        </w:rPr>
        <w:t>now is?”</w:t>
      </w:r>
      <w:r>
        <w:rPr>
          <w:rFonts w:ascii="Garamond" w:hAnsi="Garamond"/>
          <w:bCs/>
        </w:rPr>
        <w:t xml:space="preserve"> The scale remained anchored at –5 (“Worse than before”), 0 (“Same as before”), and 5 (“Better than before”).</w:t>
      </w:r>
    </w:p>
    <w:p w14:paraId="72816447" w14:textId="77777777" w:rsidR="00B23F0B" w:rsidRDefault="00B23F0B" w:rsidP="00A617DA">
      <w:pPr>
        <w:spacing w:line="276" w:lineRule="auto"/>
        <w:ind w:firstLine="360"/>
        <w:jc w:val="both"/>
        <w:rPr>
          <w:rFonts w:ascii="Garamond" w:hAnsi="Garamond"/>
          <w:bCs/>
        </w:rPr>
      </w:pPr>
    </w:p>
    <w:p w14:paraId="68F0F3F2" w14:textId="3D1ECD3B" w:rsidR="00B23F0B" w:rsidRDefault="00B23F0B" w:rsidP="00A617DA">
      <w:pPr>
        <w:spacing w:line="276" w:lineRule="auto"/>
        <w:ind w:firstLine="360"/>
        <w:jc w:val="both"/>
        <w:rPr>
          <w:rFonts w:ascii="Garamond" w:hAnsi="Garamond"/>
          <w:bCs/>
        </w:rPr>
      </w:pPr>
      <w:r>
        <w:rPr>
          <w:rFonts w:ascii="Garamond" w:hAnsi="Garamond"/>
          <w:b/>
          <w:bCs/>
        </w:rPr>
        <w:t>Results</w:t>
      </w:r>
      <w:r w:rsidR="00287C06">
        <w:rPr>
          <w:rFonts w:ascii="Garamond" w:hAnsi="Garamond"/>
          <w:b/>
          <w:bCs/>
        </w:rPr>
        <w:t xml:space="preserve"> and Discussion</w:t>
      </w:r>
      <w:r>
        <w:rPr>
          <w:rFonts w:ascii="Garamond" w:hAnsi="Garamond"/>
          <w:b/>
          <w:bCs/>
        </w:rPr>
        <w:t>.</w:t>
      </w:r>
      <w:r>
        <w:rPr>
          <w:rFonts w:ascii="Garamond" w:hAnsi="Garamond"/>
          <w:bCs/>
        </w:rPr>
        <w:t xml:space="preserve"> As shown in </w:t>
      </w:r>
      <w:r w:rsidR="00D54094">
        <w:rPr>
          <w:rFonts w:ascii="Garamond" w:hAnsi="Garamond"/>
          <w:bCs/>
        </w:rPr>
        <w:t xml:space="preserve">Figure S1, </w:t>
      </w:r>
      <w:r w:rsidR="00A617DA">
        <w:rPr>
          <w:rFonts w:ascii="Garamond" w:hAnsi="Garamond"/>
          <w:bCs/>
        </w:rPr>
        <w:t>participants’ welfare-change ratings were indeed more positive than in Study 1, reflecting the question asking about benefits without mentioning costs. But critically, the asymmetries among buyers, sellers, and traders remained large in magnitude.</w:t>
      </w:r>
    </w:p>
    <w:p w14:paraId="6B1F3C36" w14:textId="566D25A2" w:rsidR="00A617DA" w:rsidRDefault="00873857" w:rsidP="00A617DA">
      <w:pPr>
        <w:spacing w:line="276" w:lineRule="auto"/>
        <w:ind w:firstLine="360"/>
        <w:jc w:val="both"/>
        <w:rPr>
          <w:rFonts w:ascii="Garamond" w:hAnsi="Garamond"/>
          <w:bCs/>
        </w:rPr>
      </w:pPr>
      <w:r>
        <w:rPr>
          <w:rFonts w:ascii="Garamond" w:hAnsi="Garamond"/>
          <w:bCs/>
        </w:rPr>
        <w:t>Buyers were seen as losing from the transaction much more often than sellers [</w:t>
      </w:r>
      <w:r>
        <w:rPr>
          <w:rFonts w:ascii="Garamond" w:hAnsi="Garamond"/>
          <w:bCs/>
          <w:i/>
        </w:rPr>
        <w:t>M</w:t>
      </w:r>
      <w:r>
        <w:rPr>
          <w:rFonts w:ascii="Garamond" w:hAnsi="Garamond"/>
          <w:bCs/>
        </w:rPr>
        <w:t xml:space="preserve"> = 1.21, </w:t>
      </w:r>
      <w:r>
        <w:rPr>
          <w:rFonts w:ascii="Garamond" w:hAnsi="Garamond"/>
          <w:bCs/>
          <w:i/>
        </w:rPr>
        <w:t>SD</w:t>
      </w:r>
      <w:r>
        <w:rPr>
          <w:rFonts w:ascii="Garamond" w:hAnsi="Garamond"/>
          <w:bCs/>
        </w:rPr>
        <w:t xml:space="preserve"> = 1.62 vs. </w:t>
      </w:r>
      <w:r>
        <w:rPr>
          <w:rFonts w:ascii="Garamond" w:hAnsi="Garamond"/>
          <w:bCs/>
          <w:i/>
        </w:rPr>
        <w:t>M</w:t>
      </w:r>
      <w:r>
        <w:rPr>
          <w:rFonts w:ascii="Garamond" w:hAnsi="Garamond"/>
          <w:bCs/>
        </w:rPr>
        <w:t xml:space="preserve"> = 0.35, </w:t>
      </w:r>
      <w:r>
        <w:rPr>
          <w:rFonts w:ascii="Garamond" w:hAnsi="Garamond"/>
          <w:bCs/>
          <w:i/>
        </w:rPr>
        <w:t>SD</w:t>
      </w:r>
      <w:r>
        <w:rPr>
          <w:rFonts w:ascii="Garamond" w:hAnsi="Garamond"/>
          <w:bCs/>
        </w:rPr>
        <w:t xml:space="preserve"> = 0.77 out of 8; </w:t>
      </w:r>
      <w:r>
        <w:rPr>
          <w:rFonts w:ascii="Garamond" w:hAnsi="Garamond"/>
          <w:bCs/>
          <w:i/>
        </w:rPr>
        <w:t>t</w:t>
      </w:r>
      <w:r>
        <w:rPr>
          <w:rFonts w:ascii="Garamond" w:hAnsi="Garamond"/>
          <w:bCs/>
        </w:rPr>
        <w:t xml:space="preserve">(84) = 5.15,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0.68], and this trend was also reflected in the mean welfare-change scores [</w:t>
      </w:r>
      <w:r>
        <w:rPr>
          <w:rFonts w:ascii="Garamond" w:hAnsi="Garamond"/>
          <w:bCs/>
          <w:i/>
        </w:rPr>
        <w:t>M</w:t>
      </w:r>
      <w:r>
        <w:rPr>
          <w:rFonts w:ascii="Garamond" w:hAnsi="Garamond"/>
          <w:bCs/>
        </w:rPr>
        <w:t xml:space="preserve"> = 1.88, </w:t>
      </w:r>
      <w:r>
        <w:rPr>
          <w:rFonts w:ascii="Garamond" w:hAnsi="Garamond"/>
          <w:bCs/>
          <w:i/>
        </w:rPr>
        <w:t>SD</w:t>
      </w:r>
      <w:r>
        <w:rPr>
          <w:rFonts w:ascii="Garamond" w:hAnsi="Garamond"/>
          <w:bCs/>
        </w:rPr>
        <w:t xml:space="preserve"> = 1.52 vs. </w:t>
      </w:r>
      <w:r>
        <w:rPr>
          <w:rFonts w:ascii="Garamond" w:hAnsi="Garamond"/>
          <w:bCs/>
          <w:i/>
        </w:rPr>
        <w:t>M</w:t>
      </w:r>
      <w:r>
        <w:rPr>
          <w:rFonts w:ascii="Garamond" w:hAnsi="Garamond"/>
          <w:bCs/>
        </w:rPr>
        <w:t xml:space="preserve"> = 2.93, </w:t>
      </w:r>
      <w:r>
        <w:rPr>
          <w:rFonts w:ascii="Garamond" w:hAnsi="Garamond"/>
          <w:bCs/>
          <w:i/>
        </w:rPr>
        <w:t>SD</w:t>
      </w:r>
      <w:r>
        <w:rPr>
          <w:rFonts w:ascii="Garamond" w:hAnsi="Garamond"/>
          <w:bCs/>
        </w:rPr>
        <w:t xml:space="preserve"> = 1.34; </w:t>
      </w:r>
      <w:r>
        <w:rPr>
          <w:rFonts w:ascii="Garamond" w:hAnsi="Garamond"/>
          <w:bCs/>
          <w:i/>
        </w:rPr>
        <w:t>t</w:t>
      </w:r>
      <w:r>
        <w:rPr>
          <w:rFonts w:ascii="Garamond" w:hAnsi="Garamond"/>
          <w:bCs/>
        </w:rPr>
        <w:t xml:space="preserve">(84) = 7.44,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0.73]. While these asymmetries are somewhat less pronounced compared to Study 1, they are large in magnitude and reflect a general concern that buyers fail to benefit from their purchases, which we have also seen in every other study reported in this article.</w:t>
      </w:r>
    </w:p>
    <w:p w14:paraId="1388C6C1" w14:textId="7E360DF2" w:rsidR="00D54094" w:rsidRPr="00B23F0B" w:rsidRDefault="00873857" w:rsidP="00EE0F24">
      <w:pPr>
        <w:spacing w:line="276" w:lineRule="auto"/>
        <w:ind w:firstLine="360"/>
        <w:jc w:val="both"/>
        <w:rPr>
          <w:rFonts w:ascii="Garamond" w:hAnsi="Garamond"/>
          <w:bCs/>
        </w:rPr>
      </w:pPr>
      <w:r>
        <w:rPr>
          <w:rFonts w:ascii="Garamond" w:hAnsi="Garamond"/>
          <w:bCs/>
        </w:rPr>
        <w:t>Also mirroring other studies, traders were much more assigned zero-change scores [</w:t>
      </w:r>
      <w:r>
        <w:rPr>
          <w:rFonts w:ascii="Garamond" w:hAnsi="Garamond"/>
          <w:bCs/>
          <w:i/>
        </w:rPr>
        <w:t>M</w:t>
      </w:r>
      <w:r>
        <w:rPr>
          <w:rFonts w:ascii="Garamond" w:hAnsi="Garamond"/>
          <w:bCs/>
        </w:rPr>
        <w:t xml:space="preserve"> = </w:t>
      </w:r>
      <w:r w:rsidR="00EE0F24">
        <w:rPr>
          <w:rFonts w:ascii="Garamond" w:hAnsi="Garamond"/>
          <w:bCs/>
        </w:rPr>
        <w:t xml:space="preserve">1.32, </w:t>
      </w:r>
      <w:r w:rsidR="00EE0F24">
        <w:rPr>
          <w:rFonts w:ascii="Garamond" w:hAnsi="Garamond"/>
          <w:bCs/>
          <w:i/>
        </w:rPr>
        <w:t>SD</w:t>
      </w:r>
      <w:r w:rsidR="00EE0F24">
        <w:rPr>
          <w:rFonts w:ascii="Garamond" w:hAnsi="Garamond"/>
          <w:bCs/>
        </w:rPr>
        <w:t xml:space="preserve"> = 2.04 out of 8]</w:t>
      </w:r>
      <w:r>
        <w:rPr>
          <w:rFonts w:ascii="Garamond" w:hAnsi="Garamond"/>
          <w:bCs/>
        </w:rPr>
        <w:t xml:space="preserve"> much more often than </w:t>
      </w:r>
      <w:r w:rsidR="00EE0F24">
        <w:rPr>
          <w:rFonts w:ascii="Garamond" w:hAnsi="Garamond"/>
          <w:bCs/>
        </w:rPr>
        <w:t>buyers [</w:t>
      </w:r>
      <w:r w:rsidR="00EE0F24">
        <w:rPr>
          <w:rFonts w:ascii="Garamond" w:hAnsi="Garamond"/>
          <w:bCs/>
          <w:i/>
        </w:rPr>
        <w:t>M</w:t>
      </w:r>
      <w:r w:rsidR="00EE0F24">
        <w:rPr>
          <w:rFonts w:ascii="Garamond" w:hAnsi="Garamond"/>
          <w:bCs/>
        </w:rPr>
        <w:t xml:space="preserve"> = 0.19, </w:t>
      </w:r>
      <w:r w:rsidR="00EE0F24">
        <w:rPr>
          <w:rFonts w:ascii="Garamond" w:hAnsi="Garamond"/>
          <w:bCs/>
          <w:i/>
        </w:rPr>
        <w:t>SD</w:t>
      </w:r>
      <w:r w:rsidR="00EE0F24">
        <w:rPr>
          <w:rFonts w:ascii="Garamond" w:hAnsi="Garamond"/>
          <w:bCs/>
        </w:rPr>
        <w:t xml:space="preserve"> = 0.92 out of 8; </w:t>
      </w:r>
      <w:r w:rsidR="00EE0F24">
        <w:rPr>
          <w:rFonts w:ascii="Garamond" w:hAnsi="Garamond"/>
          <w:bCs/>
          <w:i/>
        </w:rPr>
        <w:t>t</w:t>
      </w:r>
      <w:r w:rsidR="00EE0F24">
        <w:rPr>
          <w:rFonts w:ascii="Garamond" w:hAnsi="Garamond"/>
          <w:bCs/>
        </w:rPr>
        <w:t xml:space="preserve">(84) = 5.42, </w:t>
      </w:r>
      <w:r w:rsidR="00EE0F24">
        <w:rPr>
          <w:rFonts w:ascii="Garamond" w:hAnsi="Garamond"/>
          <w:bCs/>
          <w:i/>
        </w:rPr>
        <w:t>p</w:t>
      </w:r>
      <w:r w:rsidR="00EE0F24">
        <w:rPr>
          <w:rFonts w:ascii="Garamond" w:hAnsi="Garamond"/>
          <w:bCs/>
        </w:rPr>
        <w:t xml:space="preserve"> &lt; .001, </w:t>
      </w:r>
      <w:r w:rsidR="00EE0F24">
        <w:rPr>
          <w:rFonts w:ascii="Garamond" w:hAnsi="Garamond"/>
          <w:bCs/>
          <w:i/>
        </w:rPr>
        <w:t>d</w:t>
      </w:r>
      <w:r w:rsidR="00EE0F24">
        <w:rPr>
          <w:rFonts w:ascii="Garamond" w:hAnsi="Garamond"/>
          <w:bCs/>
        </w:rPr>
        <w:t xml:space="preserve"> = 0.71] or sellers [</w:t>
      </w:r>
      <w:r w:rsidR="00EE0F24">
        <w:rPr>
          <w:rFonts w:ascii="Garamond" w:hAnsi="Garamond"/>
          <w:bCs/>
          <w:i/>
        </w:rPr>
        <w:t>M</w:t>
      </w:r>
      <w:r w:rsidR="00EE0F24">
        <w:rPr>
          <w:rFonts w:ascii="Garamond" w:hAnsi="Garamond"/>
          <w:bCs/>
        </w:rPr>
        <w:t xml:space="preserve"> = 0.16, </w:t>
      </w:r>
      <w:r w:rsidR="00EE0F24">
        <w:rPr>
          <w:rFonts w:ascii="Garamond" w:hAnsi="Garamond"/>
          <w:bCs/>
          <w:i/>
        </w:rPr>
        <w:t>SD</w:t>
      </w:r>
      <w:r w:rsidR="00EE0F24">
        <w:rPr>
          <w:rFonts w:ascii="Garamond" w:hAnsi="Garamond"/>
          <w:bCs/>
        </w:rPr>
        <w:t xml:space="preserve"> = 0.91 out of 8; </w:t>
      </w:r>
      <w:r w:rsidR="00EE0F24">
        <w:rPr>
          <w:rFonts w:ascii="Garamond" w:hAnsi="Garamond"/>
          <w:bCs/>
          <w:i/>
        </w:rPr>
        <w:t>t</w:t>
      </w:r>
      <w:r w:rsidR="00EE0F24">
        <w:rPr>
          <w:rFonts w:ascii="Garamond" w:hAnsi="Garamond"/>
          <w:bCs/>
        </w:rPr>
        <w:t xml:space="preserve">(84) = 5.42, </w:t>
      </w:r>
      <w:r w:rsidR="00EE0F24">
        <w:rPr>
          <w:rFonts w:ascii="Garamond" w:hAnsi="Garamond"/>
          <w:bCs/>
          <w:i/>
        </w:rPr>
        <w:t>p</w:t>
      </w:r>
      <w:r w:rsidR="00EE0F24">
        <w:rPr>
          <w:rFonts w:ascii="Garamond" w:hAnsi="Garamond"/>
          <w:bCs/>
        </w:rPr>
        <w:t xml:space="preserve"> &lt; .001, </w:t>
      </w:r>
      <w:r w:rsidR="00EE0F24">
        <w:rPr>
          <w:rFonts w:ascii="Garamond" w:hAnsi="Garamond"/>
          <w:bCs/>
          <w:i/>
        </w:rPr>
        <w:t>d</w:t>
      </w:r>
      <w:r w:rsidR="00EE0F24">
        <w:rPr>
          <w:rFonts w:ascii="Garamond" w:hAnsi="Garamond"/>
          <w:bCs/>
        </w:rPr>
        <w:t xml:space="preserve"> = 0.73]. This also resulted in lower mean welfare-change scores for traders compared to monetary </w:t>
      </w:r>
      <w:r w:rsidR="0062793A">
        <w:rPr>
          <w:rFonts w:ascii="Garamond" w:hAnsi="Garamond"/>
          <w:bCs/>
        </w:rPr>
        <w:t xml:space="preserve">transaction parties </w:t>
      </w:r>
      <w:r w:rsidR="00EE0F24">
        <w:rPr>
          <w:rFonts w:ascii="Garamond" w:hAnsi="Garamond"/>
          <w:bCs/>
        </w:rPr>
        <w:t>(collapsing across buyers and sellers) [</w:t>
      </w:r>
      <w:r w:rsidR="00EE0F24">
        <w:rPr>
          <w:rFonts w:ascii="Garamond" w:hAnsi="Garamond"/>
          <w:bCs/>
          <w:i/>
        </w:rPr>
        <w:t>M</w:t>
      </w:r>
      <w:r w:rsidR="00EE0F24">
        <w:rPr>
          <w:rFonts w:ascii="Garamond" w:hAnsi="Garamond"/>
          <w:bCs/>
        </w:rPr>
        <w:t xml:space="preserve"> = 1.21, </w:t>
      </w:r>
      <w:r w:rsidR="00EE0F24">
        <w:rPr>
          <w:rFonts w:ascii="Garamond" w:hAnsi="Garamond"/>
          <w:bCs/>
          <w:i/>
        </w:rPr>
        <w:t>SD</w:t>
      </w:r>
      <w:r w:rsidR="00EE0F24">
        <w:rPr>
          <w:rFonts w:ascii="Garamond" w:hAnsi="Garamond"/>
          <w:bCs/>
        </w:rPr>
        <w:t xml:space="preserve"> = 1.34 vs. </w:t>
      </w:r>
      <w:r w:rsidR="00EE0F24">
        <w:rPr>
          <w:rFonts w:ascii="Garamond" w:hAnsi="Garamond"/>
          <w:bCs/>
          <w:i/>
        </w:rPr>
        <w:t>M</w:t>
      </w:r>
      <w:r w:rsidR="00EE0F24">
        <w:rPr>
          <w:rFonts w:ascii="Garamond" w:hAnsi="Garamond"/>
          <w:bCs/>
        </w:rPr>
        <w:t xml:space="preserve"> = 2.41, </w:t>
      </w:r>
      <w:r w:rsidR="00EE0F24">
        <w:rPr>
          <w:rFonts w:ascii="Garamond" w:hAnsi="Garamond"/>
          <w:bCs/>
          <w:i/>
        </w:rPr>
        <w:t>SD</w:t>
      </w:r>
      <w:r w:rsidR="00EE0F24">
        <w:rPr>
          <w:rFonts w:ascii="Garamond" w:hAnsi="Garamond"/>
          <w:bCs/>
        </w:rPr>
        <w:t xml:space="preserve"> = 1.28; </w:t>
      </w:r>
      <w:r w:rsidR="00EE0F24">
        <w:rPr>
          <w:rFonts w:ascii="Garamond" w:hAnsi="Garamond"/>
          <w:bCs/>
          <w:i/>
        </w:rPr>
        <w:t>t</w:t>
      </w:r>
      <w:r w:rsidR="00EE0F24">
        <w:rPr>
          <w:rFonts w:ascii="Garamond" w:hAnsi="Garamond"/>
          <w:bCs/>
        </w:rPr>
        <w:t xml:space="preserve">(84) = 7.81, </w:t>
      </w:r>
      <w:r w:rsidR="00EE0F24">
        <w:rPr>
          <w:rFonts w:ascii="Garamond" w:hAnsi="Garamond"/>
          <w:bCs/>
          <w:i/>
        </w:rPr>
        <w:t>p</w:t>
      </w:r>
      <w:r w:rsidR="00EE0F24">
        <w:rPr>
          <w:rFonts w:ascii="Garamond" w:hAnsi="Garamond"/>
          <w:bCs/>
        </w:rPr>
        <w:t xml:space="preserve"> &lt; .001, </w:t>
      </w:r>
      <w:r w:rsidR="00EE0F24">
        <w:rPr>
          <w:rFonts w:ascii="Garamond" w:hAnsi="Garamond"/>
          <w:bCs/>
          <w:i/>
        </w:rPr>
        <w:t>d</w:t>
      </w:r>
      <w:r w:rsidR="00EE0F24">
        <w:rPr>
          <w:rFonts w:ascii="Garamond" w:hAnsi="Garamond"/>
          <w:bCs/>
        </w:rPr>
        <w:t xml:space="preserve"> = 0.92]. This confirms that traders are really seen as failing to benefit from their transactions, not merely as being no “better off” financially afterwards. </w:t>
      </w:r>
    </w:p>
    <w:p w14:paraId="37E9EE23" w14:textId="7E116722" w:rsidR="002E703C" w:rsidRPr="00FB0675" w:rsidRDefault="00B23F0B" w:rsidP="00FB0675">
      <w:pPr>
        <w:spacing w:line="276" w:lineRule="auto"/>
        <w:rPr>
          <w:rFonts w:ascii="Garamond" w:hAnsi="Garamond"/>
          <w:b/>
          <w:bCs/>
        </w:rPr>
      </w:pPr>
      <w:r>
        <w:rPr>
          <w:noProof/>
        </w:rPr>
        <w:lastRenderedPageBreak/>
        <w:drawing>
          <wp:anchor distT="0" distB="0" distL="114300" distR="114300" simplePos="0" relativeHeight="251672576" behindDoc="0" locked="0" layoutInCell="1" allowOverlap="1" wp14:anchorId="7CAE716B" wp14:editId="3DBF5263">
            <wp:simplePos x="0" y="0"/>
            <wp:positionH relativeFrom="column">
              <wp:posOffset>0</wp:posOffset>
            </wp:positionH>
            <wp:positionV relativeFrom="paragraph">
              <wp:posOffset>193675</wp:posOffset>
            </wp:positionV>
            <wp:extent cx="5943600" cy="3700780"/>
            <wp:effectExtent l="0" t="0" r="0" b="762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392EF841" w14:textId="77777777" w:rsidR="00B23F0B" w:rsidRDefault="00B23F0B" w:rsidP="00B23F0B">
      <w:pPr>
        <w:spacing w:line="276" w:lineRule="auto"/>
        <w:ind w:left="720" w:right="720"/>
        <w:jc w:val="both"/>
        <w:rPr>
          <w:rFonts w:ascii="Garamond" w:hAnsi="Garamond"/>
          <w:bCs/>
          <w:sz w:val="20"/>
          <w:szCs w:val="20"/>
        </w:rPr>
      </w:pPr>
      <w:r w:rsidRPr="00221273">
        <w:rPr>
          <w:rFonts w:ascii="Garamond" w:hAnsi="Garamond"/>
          <w:bCs/>
          <w:i/>
          <w:sz w:val="20"/>
          <w:szCs w:val="20"/>
        </w:rPr>
        <w:t>Figure S1</w:t>
      </w:r>
      <w:r w:rsidRPr="00221273">
        <w:rPr>
          <w:rFonts w:ascii="Garamond" w:hAnsi="Garamond"/>
          <w:bCs/>
          <w:sz w:val="20"/>
          <w:szCs w:val="20"/>
        </w:rPr>
        <w:t>. Proportion</w:t>
      </w:r>
      <w:r w:rsidRPr="003E176C">
        <w:rPr>
          <w:rFonts w:ascii="Garamond" w:hAnsi="Garamond"/>
          <w:bCs/>
          <w:sz w:val="20"/>
          <w:szCs w:val="20"/>
        </w:rPr>
        <w:t xml:space="preserve"> of transactions perceived as having negative, zero, or positive impact on buyers, sellers, and traders in Study 1.</w:t>
      </w:r>
    </w:p>
    <w:p w14:paraId="27F57F25" w14:textId="13F1DA7D" w:rsidR="00221273" w:rsidRDefault="00221273" w:rsidP="002C1450">
      <w:pPr>
        <w:spacing w:line="276" w:lineRule="auto"/>
        <w:rPr>
          <w:rFonts w:ascii="Garamond" w:hAnsi="Garamond"/>
          <w:bCs/>
        </w:rPr>
      </w:pPr>
    </w:p>
    <w:p w14:paraId="0225D2F9" w14:textId="2A8A52F2" w:rsidR="00FB0675" w:rsidRDefault="007055DD" w:rsidP="007055DD">
      <w:pPr>
        <w:spacing w:line="276" w:lineRule="auto"/>
        <w:ind w:firstLine="360"/>
        <w:jc w:val="both"/>
        <w:rPr>
          <w:rFonts w:ascii="Garamond" w:hAnsi="Garamond"/>
          <w:bCs/>
        </w:rPr>
      </w:pPr>
      <w:r>
        <w:rPr>
          <w:rFonts w:ascii="Garamond" w:hAnsi="Garamond"/>
          <w:bCs/>
        </w:rPr>
        <w:t>Although participants are less likely to deny that buyers “benefit” than that they are made “better off” by their purchases, they still are much more likely to say that buyers, rather than sellers, are harmed by transactions. Likewise, although people are somewhat likelier to say that traders “benefited” from their barters rather than are made “better off,” they are far likelier to say that barters fail to benefit either party compared to monetary transactions. Thus, the key asymmetries documented throughout the studies—and offered as one key piece of evidence for mercantilist intuitions—are not an artifact of the way the dependent measure is worded.</w:t>
      </w:r>
    </w:p>
    <w:p w14:paraId="2C144F88" w14:textId="77777777" w:rsidR="00DC6BD0" w:rsidRDefault="00DC6BD0" w:rsidP="007055DD">
      <w:pPr>
        <w:spacing w:line="276" w:lineRule="auto"/>
        <w:rPr>
          <w:rFonts w:ascii="Garamond" w:hAnsi="Garamond"/>
          <w:b/>
          <w:bCs/>
          <w:sz w:val="28"/>
          <w:szCs w:val="28"/>
        </w:rPr>
      </w:pPr>
    </w:p>
    <w:p w14:paraId="46D71BF3" w14:textId="420E3635" w:rsidR="00277F3F" w:rsidRPr="00C036E1" w:rsidRDefault="00277F3F" w:rsidP="00C036E1">
      <w:pPr>
        <w:spacing w:line="276" w:lineRule="auto"/>
        <w:rPr>
          <w:rFonts w:ascii="Garamond" w:hAnsi="Garamond"/>
          <w:b/>
          <w:bCs/>
        </w:rPr>
      </w:pPr>
      <w:r w:rsidRPr="00C036E1">
        <w:rPr>
          <w:rFonts w:ascii="Garamond" w:hAnsi="Garamond"/>
          <w:b/>
          <w:bCs/>
        </w:rPr>
        <w:t xml:space="preserve">Study </w:t>
      </w:r>
      <w:r w:rsidR="00DC6BD0" w:rsidRPr="00C036E1">
        <w:rPr>
          <w:rFonts w:ascii="Garamond" w:hAnsi="Garamond"/>
          <w:b/>
          <w:bCs/>
        </w:rPr>
        <w:t>S</w:t>
      </w:r>
      <w:r w:rsidR="00500E6A">
        <w:rPr>
          <w:rFonts w:ascii="Garamond" w:hAnsi="Garamond"/>
          <w:b/>
          <w:bCs/>
        </w:rPr>
        <w:t>2</w:t>
      </w:r>
      <w:r w:rsidRPr="00C036E1">
        <w:rPr>
          <w:rFonts w:ascii="Garamond" w:hAnsi="Garamond"/>
          <w:b/>
          <w:bCs/>
        </w:rPr>
        <w:t>: Between-Subjects Replication of Study 2</w:t>
      </w:r>
    </w:p>
    <w:p w14:paraId="45580601" w14:textId="77777777" w:rsidR="00277F3F" w:rsidRDefault="00277F3F" w:rsidP="00277F3F">
      <w:pPr>
        <w:spacing w:line="276" w:lineRule="auto"/>
        <w:jc w:val="center"/>
        <w:rPr>
          <w:rFonts w:ascii="Garamond" w:hAnsi="Garamond"/>
          <w:b/>
          <w:bCs/>
          <w:sz w:val="28"/>
          <w:szCs w:val="28"/>
        </w:rPr>
      </w:pPr>
    </w:p>
    <w:p w14:paraId="1A019EBD" w14:textId="78D187D0" w:rsidR="007055DD" w:rsidRDefault="007055DD" w:rsidP="007055DD">
      <w:pPr>
        <w:spacing w:line="276" w:lineRule="auto"/>
        <w:ind w:firstLine="360"/>
        <w:jc w:val="both"/>
        <w:rPr>
          <w:rFonts w:ascii="Garamond" w:hAnsi="Garamond"/>
          <w:bCs/>
        </w:rPr>
      </w:pPr>
      <w:r>
        <w:rPr>
          <w:rFonts w:ascii="Garamond" w:hAnsi="Garamond"/>
          <w:bCs/>
        </w:rPr>
        <w:t>A second piece of evidence for mercantilist thinking—beyond the asymmetries among buyers, sellers, and traders—is that reframing transactions in terms of time rather than money tends to reduce the asymmetries between buyer and seller. This follows from mercantilism, which is the systematic tendency to overvalue money relative to the goods and services it can purchase.</w:t>
      </w:r>
      <w:r w:rsidR="00D32EC4">
        <w:rPr>
          <w:rFonts w:ascii="Garamond" w:hAnsi="Garamond"/>
          <w:bCs/>
        </w:rPr>
        <w:t xml:space="preserve"> Sellers are seen as benefitting because they gain money (overvalued relative to the goods they give up) while buyers are seen as losing because they gain goods (undervalued relative to the money they give up). When money is made less salient, it should attenuate these intuitions and reduce asymmetries between buyers and sellers, as we saw in Study 2.</w:t>
      </w:r>
    </w:p>
    <w:p w14:paraId="60732D15" w14:textId="77777777" w:rsidR="00AD621A" w:rsidRDefault="00D32EC4" w:rsidP="00AD621A">
      <w:pPr>
        <w:spacing w:line="276" w:lineRule="auto"/>
        <w:ind w:firstLine="360"/>
        <w:jc w:val="both"/>
        <w:rPr>
          <w:rFonts w:ascii="Garamond" w:hAnsi="Garamond"/>
          <w:bCs/>
        </w:rPr>
      </w:pPr>
      <w:r>
        <w:rPr>
          <w:rFonts w:ascii="Garamond" w:hAnsi="Garamond"/>
          <w:bCs/>
        </w:rPr>
        <w:lastRenderedPageBreak/>
        <w:t xml:space="preserve">Study S2 aimed to go beyond Study 2 in two respects. First, it used a between-subjects designs. Specifically, Study 2A design was identical to Study 1 except that, rather than framing all purchases in terms of money, it framed them in terms of time (as in the </w:t>
      </w:r>
      <w:r>
        <w:rPr>
          <w:rFonts w:ascii="Garamond" w:hAnsi="Garamond"/>
          <w:bCs/>
          <w:i/>
        </w:rPr>
        <w:t>time-frame</w:t>
      </w:r>
      <w:r>
        <w:rPr>
          <w:rFonts w:ascii="Garamond" w:hAnsi="Garamond"/>
          <w:bCs/>
        </w:rPr>
        <w:t xml:space="preserve"> condition of Study 2). </w:t>
      </w:r>
      <w:r w:rsidR="003E176C">
        <w:rPr>
          <w:rFonts w:ascii="Garamond" w:hAnsi="Garamond"/>
          <w:bCs/>
        </w:rPr>
        <w:t>That is, comparing Study S2A to Study 1 is equivalent to testing the effect of money-frame versus time-frame (tested within-subjects in Study 2) in a between-subjects design.</w:t>
      </w:r>
    </w:p>
    <w:p w14:paraId="2AC7413E" w14:textId="3D9578FD" w:rsidR="00AD621A" w:rsidRDefault="00AD621A" w:rsidP="00AD621A">
      <w:pPr>
        <w:spacing w:line="276" w:lineRule="auto"/>
        <w:ind w:firstLine="360"/>
        <w:jc w:val="both"/>
        <w:rPr>
          <w:rFonts w:ascii="Garamond" w:hAnsi="Garamond"/>
          <w:bCs/>
        </w:rPr>
      </w:pPr>
      <w:r>
        <w:rPr>
          <w:rFonts w:ascii="Garamond" w:hAnsi="Garamond"/>
          <w:bCs/>
        </w:rPr>
        <w:t xml:space="preserve">Second, Study S2B tested a </w:t>
      </w:r>
      <w:r>
        <w:rPr>
          <w:rFonts w:ascii="Garamond" w:hAnsi="Garamond"/>
          <w:bCs/>
          <w:i/>
        </w:rPr>
        <w:t xml:space="preserve">money-plus-time </w:t>
      </w:r>
      <w:r>
        <w:rPr>
          <w:rFonts w:ascii="Garamond" w:hAnsi="Garamond"/>
          <w:bCs/>
        </w:rPr>
        <w:t>framing in which both the monetary and time value were specified. This helps to tease apart whether the salutary effects of time-framing are due to mentioning time, per se, or instead avoiding the mention of money. According to mercantilism it is the latter avoidance of money-talk that produces the attenuation of the asymmetries between buyer and seller. Thus, we would expect Study S2B to look more like Study 1 than like Study S2A.</w:t>
      </w:r>
    </w:p>
    <w:p w14:paraId="03634E16" w14:textId="77777777" w:rsidR="002E703C" w:rsidRDefault="002E703C" w:rsidP="00277F3F">
      <w:pPr>
        <w:spacing w:line="276" w:lineRule="auto"/>
        <w:jc w:val="center"/>
        <w:rPr>
          <w:rFonts w:ascii="Garamond" w:hAnsi="Garamond"/>
          <w:b/>
          <w:bCs/>
          <w:sz w:val="28"/>
          <w:szCs w:val="28"/>
        </w:rPr>
      </w:pPr>
    </w:p>
    <w:p w14:paraId="21BACCDA" w14:textId="5570ECE9" w:rsidR="002E703C" w:rsidRDefault="00290C7B" w:rsidP="00996872">
      <w:pPr>
        <w:spacing w:line="276" w:lineRule="auto"/>
        <w:ind w:firstLine="360"/>
        <w:jc w:val="both"/>
        <w:rPr>
          <w:rFonts w:ascii="Garamond" w:hAnsi="Garamond"/>
        </w:rPr>
      </w:pPr>
      <w:r w:rsidRPr="00487A9A">
        <w:rPr>
          <w:rFonts w:ascii="Garamond" w:hAnsi="Garamond"/>
          <w:b/>
        </w:rPr>
        <w:t>Methods.</w:t>
      </w:r>
      <w:r w:rsidRPr="00487A9A">
        <w:rPr>
          <w:rFonts w:ascii="Garamond" w:hAnsi="Garamond"/>
        </w:rPr>
        <w:t xml:space="preserve"> We recruited</w:t>
      </w:r>
      <w:r w:rsidRPr="008C16A0">
        <w:rPr>
          <w:rFonts w:ascii="Garamond" w:hAnsi="Garamond"/>
        </w:rPr>
        <w:t xml:space="preserve"> </w:t>
      </w:r>
      <w:r>
        <w:rPr>
          <w:rFonts w:ascii="Garamond" w:hAnsi="Garamond"/>
        </w:rPr>
        <w:t>1</w:t>
      </w:r>
      <w:r w:rsidRPr="0047779E">
        <w:rPr>
          <w:rFonts w:ascii="Garamond" w:hAnsi="Garamond"/>
        </w:rPr>
        <w:t>99 participants (</w:t>
      </w:r>
      <w:r w:rsidRPr="0047779E">
        <w:rPr>
          <w:rFonts w:ascii="Garamond" w:hAnsi="Garamond"/>
          <w:i/>
        </w:rPr>
        <w:t>M</w:t>
      </w:r>
      <w:r w:rsidRPr="0047779E">
        <w:rPr>
          <w:rFonts w:ascii="Garamond" w:hAnsi="Garamond"/>
          <w:vertAlign w:val="subscript"/>
        </w:rPr>
        <w:t>age</w:t>
      </w:r>
      <w:r>
        <w:rPr>
          <w:rFonts w:ascii="Garamond" w:hAnsi="Garamond"/>
        </w:rPr>
        <w:t xml:space="preserve"> = 34.</w:t>
      </w:r>
      <w:r w:rsidR="002E703C">
        <w:rPr>
          <w:rFonts w:ascii="Garamond" w:hAnsi="Garamond"/>
        </w:rPr>
        <w:t>4</w:t>
      </w:r>
      <w:r>
        <w:rPr>
          <w:rFonts w:ascii="Garamond" w:hAnsi="Garamond"/>
        </w:rPr>
        <w:t>, 55% female, 47</w:t>
      </w:r>
      <w:r w:rsidRPr="0047779E">
        <w:rPr>
          <w:rFonts w:ascii="Garamond" w:hAnsi="Garamond"/>
        </w:rPr>
        <w:t xml:space="preserve">% college educated) </w:t>
      </w:r>
      <w:r w:rsidRPr="008C16A0">
        <w:rPr>
          <w:rFonts w:ascii="Garamond" w:hAnsi="Garamond"/>
        </w:rPr>
        <w:t>from Amazon Mechanical Turk</w:t>
      </w:r>
      <w:r>
        <w:rPr>
          <w:rFonts w:ascii="Garamond" w:hAnsi="Garamond"/>
        </w:rPr>
        <w:t xml:space="preserve"> (</w:t>
      </w:r>
      <w:r>
        <w:rPr>
          <w:rFonts w:ascii="Garamond" w:hAnsi="Garamond"/>
          <w:i/>
        </w:rPr>
        <w:t>N</w:t>
      </w:r>
      <w:r>
        <w:rPr>
          <w:rFonts w:ascii="Garamond" w:hAnsi="Garamond"/>
        </w:rPr>
        <w:t xml:space="preserve"> = 99 for </w:t>
      </w:r>
      <w:r w:rsidR="002B26DD">
        <w:rPr>
          <w:rFonts w:ascii="Garamond" w:hAnsi="Garamond"/>
        </w:rPr>
        <w:t xml:space="preserve">Study </w:t>
      </w:r>
      <w:r w:rsidR="00996872">
        <w:rPr>
          <w:rFonts w:ascii="Garamond" w:hAnsi="Garamond"/>
        </w:rPr>
        <w:t>S</w:t>
      </w:r>
      <w:r w:rsidR="002B26DD">
        <w:rPr>
          <w:rFonts w:ascii="Garamond" w:hAnsi="Garamond"/>
        </w:rPr>
        <w:t>2</w:t>
      </w:r>
      <w:r>
        <w:rPr>
          <w:rFonts w:ascii="Garamond" w:hAnsi="Garamond"/>
        </w:rPr>
        <w:t xml:space="preserve">A and </w:t>
      </w:r>
      <w:r>
        <w:rPr>
          <w:rFonts w:ascii="Garamond" w:hAnsi="Garamond"/>
          <w:i/>
        </w:rPr>
        <w:t>N</w:t>
      </w:r>
      <w:r>
        <w:rPr>
          <w:rFonts w:ascii="Garamond" w:hAnsi="Garamond"/>
        </w:rPr>
        <w:t xml:space="preserve"> = 100 for </w:t>
      </w:r>
      <w:r w:rsidR="002B26DD">
        <w:rPr>
          <w:rFonts w:ascii="Garamond" w:hAnsi="Garamond"/>
        </w:rPr>
        <w:t xml:space="preserve">Study </w:t>
      </w:r>
      <w:r w:rsidR="00996872">
        <w:rPr>
          <w:rFonts w:ascii="Garamond" w:hAnsi="Garamond"/>
        </w:rPr>
        <w:t>S</w:t>
      </w:r>
      <w:r w:rsidR="002B26DD">
        <w:rPr>
          <w:rFonts w:ascii="Garamond" w:hAnsi="Garamond"/>
        </w:rPr>
        <w:t>2</w:t>
      </w:r>
      <w:r>
        <w:rPr>
          <w:rFonts w:ascii="Garamond" w:hAnsi="Garamond"/>
        </w:rPr>
        <w:t>B)</w:t>
      </w:r>
      <w:r w:rsidR="002E703C">
        <w:rPr>
          <w:rFonts w:ascii="Garamond" w:hAnsi="Garamond"/>
        </w:rPr>
        <w:t>; 55 were excluded from analysis based on the criterion used in the other studies.</w:t>
      </w:r>
    </w:p>
    <w:p w14:paraId="75219126" w14:textId="11EC1B69" w:rsidR="00996872" w:rsidRDefault="00996872" w:rsidP="001D7106">
      <w:pPr>
        <w:spacing w:line="276" w:lineRule="auto"/>
        <w:ind w:firstLine="360"/>
        <w:jc w:val="both"/>
        <w:rPr>
          <w:rFonts w:ascii="Garamond" w:hAnsi="Garamond"/>
          <w:bCs/>
        </w:rPr>
      </w:pPr>
      <w:r w:rsidRPr="00996872">
        <w:rPr>
          <w:rFonts w:ascii="Garamond" w:hAnsi="Garamond"/>
        </w:rPr>
        <w:t>Study</w:t>
      </w:r>
      <w:r>
        <w:rPr>
          <w:rFonts w:ascii="Garamond" w:hAnsi="Garamond"/>
        </w:rPr>
        <w:t xml:space="preserve"> S2A used the same design as Study 1, except every item appeared in the </w:t>
      </w:r>
      <w:r w:rsidRPr="00996872">
        <w:rPr>
          <w:rFonts w:ascii="Garamond" w:hAnsi="Garamond"/>
          <w:i/>
        </w:rPr>
        <w:t>time-frame</w:t>
      </w:r>
      <w:r>
        <w:rPr>
          <w:rFonts w:ascii="Garamond" w:hAnsi="Garamond"/>
        </w:rPr>
        <w:t xml:space="preserve"> used in Study 2. That is, the buyers’ side of each monetary transaction was described in terms of labor, as was one of the traders for each of the barter.</w:t>
      </w:r>
      <w:r w:rsidR="001D7106">
        <w:rPr>
          <w:rFonts w:ascii="Garamond" w:hAnsi="Garamond"/>
        </w:rPr>
        <w:t xml:space="preserve"> For example, whereas an item in the money-frame used in Study 1 read “</w:t>
      </w:r>
      <w:r w:rsidR="001D7106" w:rsidRPr="001D7106">
        <w:rPr>
          <w:rFonts w:ascii="Garamond" w:hAnsi="Garamond"/>
          <w:bCs/>
        </w:rPr>
        <w:t xml:space="preserve">Sally goes to Tony’s clothing store. </w:t>
      </w:r>
      <w:r w:rsidR="001D7106" w:rsidRPr="008C2757">
        <w:rPr>
          <w:rFonts w:ascii="Garamond" w:hAnsi="Garamond"/>
          <w:bCs/>
        </w:rPr>
        <w:t>She pays Tony $30 for a shirt</w:t>
      </w:r>
      <w:r w:rsidR="001D7106">
        <w:rPr>
          <w:rFonts w:ascii="Garamond" w:hAnsi="Garamond"/>
          <w:bCs/>
        </w:rPr>
        <w:t xml:space="preserve">,” the equivalent time-frame item in Study S2A (as well as the time-frame condition of Study 2) read </w:t>
      </w:r>
      <w:r w:rsidR="001D7106">
        <w:rPr>
          <w:rFonts w:ascii="Garamond" w:hAnsi="Garamond"/>
        </w:rPr>
        <w:t>“</w:t>
      </w:r>
      <w:r w:rsidR="001D7106" w:rsidRPr="001D7106">
        <w:rPr>
          <w:rFonts w:ascii="Garamond" w:hAnsi="Garamond"/>
          <w:bCs/>
        </w:rPr>
        <w:t>Sally goes to Tony’s clothing store. Sally worked for 1.5 hours to pay Tony for a shirt</w:t>
      </w:r>
      <w:r w:rsidR="001D7106">
        <w:rPr>
          <w:rFonts w:ascii="Garamond" w:hAnsi="Garamond"/>
          <w:bCs/>
        </w:rPr>
        <w:t xml:space="preserve">,” with a separate paragraph describing Sally’s after-tax wages at $20 per hour. One of the barter items read </w:t>
      </w:r>
      <w:r w:rsidR="001D7106" w:rsidRPr="001D7106">
        <w:rPr>
          <w:rFonts w:ascii="Garamond" w:hAnsi="Garamond"/>
          <w:bCs/>
        </w:rPr>
        <w:t>“Vivian goes to her colleague Tommy’s office. Vivian worked for 20 minutes to pay for a Burger King hamburger, which she trades to Tommy in exchange fo</w:t>
      </w:r>
      <w:r w:rsidR="001D7106">
        <w:rPr>
          <w:rFonts w:ascii="Garamond" w:hAnsi="Garamond"/>
          <w:bCs/>
        </w:rPr>
        <w:t>r Tommy’s McDonald’s hamburger,” as in the time-frame of Study 2.</w:t>
      </w:r>
    </w:p>
    <w:p w14:paraId="2A4F4D24" w14:textId="46CFEF00" w:rsidR="00AD621A" w:rsidRDefault="00996872" w:rsidP="00AD621A">
      <w:pPr>
        <w:spacing w:line="276" w:lineRule="auto"/>
        <w:ind w:firstLine="360"/>
        <w:jc w:val="both"/>
        <w:rPr>
          <w:rFonts w:ascii="Garamond" w:hAnsi="Garamond"/>
          <w:bCs/>
        </w:rPr>
      </w:pPr>
      <w:r>
        <w:rPr>
          <w:rFonts w:ascii="Garamond" w:hAnsi="Garamond"/>
        </w:rPr>
        <w:t xml:space="preserve">Study S2B used a </w:t>
      </w:r>
      <w:r>
        <w:rPr>
          <w:rFonts w:ascii="Garamond" w:hAnsi="Garamond"/>
          <w:i/>
        </w:rPr>
        <w:t>money-plus-time-</w:t>
      </w:r>
      <w:r w:rsidRPr="001D7106">
        <w:rPr>
          <w:rFonts w:ascii="Garamond" w:hAnsi="Garamond"/>
          <w:i/>
        </w:rPr>
        <w:t>frame</w:t>
      </w:r>
      <w:r w:rsidRPr="001D7106">
        <w:rPr>
          <w:rFonts w:ascii="Garamond" w:hAnsi="Garamond"/>
        </w:rPr>
        <w:t>, which differed subtly from the time-frame in Study S2A</w:t>
      </w:r>
      <w:r w:rsidR="001D7106" w:rsidRPr="001D7106">
        <w:rPr>
          <w:rFonts w:ascii="Garamond" w:hAnsi="Garamond"/>
        </w:rPr>
        <w:t xml:space="preserve"> by including both the monetary </w:t>
      </w:r>
      <w:r w:rsidR="001D7106" w:rsidRPr="001D7106">
        <w:rPr>
          <w:rFonts w:ascii="Garamond" w:hAnsi="Garamond"/>
          <w:i/>
        </w:rPr>
        <w:t xml:space="preserve">and </w:t>
      </w:r>
      <w:r w:rsidR="001D7106" w:rsidRPr="001D7106">
        <w:rPr>
          <w:rFonts w:ascii="Garamond" w:hAnsi="Garamond"/>
        </w:rPr>
        <w:t xml:space="preserve">the time cost: </w:t>
      </w:r>
      <w:r w:rsidR="00290C7B" w:rsidRPr="001D7106">
        <w:rPr>
          <w:rFonts w:ascii="Garamond" w:hAnsi="Garamond"/>
          <w:bCs/>
        </w:rPr>
        <w:t>“Sally goes to Tony’s clothing store. She pays Tony $30 (which took Sally 1.5 hours of work to earn) for a shirt.”</w:t>
      </w:r>
      <w:r w:rsidR="001D7106">
        <w:rPr>
          <w:rFonts w:ascii="Garamond" w:hAnsi="Garamond"/>
          <w:bCs/>
        </w:rPr>
        <w:t xml:space="preserve"> A barter item r</w:t>
      </w:r>
      <w:r w:rsidR="001D7106" w:rsidRPr="001D7106">
        <w:rPr>
          <w:rFonts w:ascii="Garamond" w:hAnsi="Garamond"/>
          <w:bCs/>
        </w:rPr>
        <w:t xml:space="preserve">ead </w:t>
      </w:r>
      <w:r w:rsidR="00290C7B" w:rsidRPr="001D7106">
        <w:rPr>
          <w:rFonts w:ascii="Garamond" w:hAnsi="Garamond"/>
          <w:bCs/>
        </w:rPr>
        <w:t>“</w:t>
      </w:r>
      <w:proofErr w:type="spellStart"/>
      <w:r w:rsidR="00290C7B" w:rsidRPr="001D7106">
        <w:rPr>
          <w:rFonts w:ascii="Garamond" w:hAnsi="Garamond"/>
          <w:bCs/>
        </w:rPr>
        <w:t>Vivan</w:t>
      </w:r>
      <w:proofErr w:type="spellEnd"/>
      <w:r w:rsidR="00290C7B" w:rsidRPr="001D7106">
        <w:rPr>
          <w:rFonts w:ascii="Garamond" w:hAnsi="Garamond"/>
          <w:bCs/>
        </w:rPr>
        <w:t xml:space="preserve"> goes to her colleague Tommy’s office. She trades her Burger King hamburger (which took Vivian 20 minutes of work to earn) for Tommy’s</w:t>
      </w:r>
      <w:r w:rsidR="001D7106" w:rsidRPr="001D7106">
        <w:rPr>
          <w:rFonts w:ascii="Garamond" w:hAnsi="Garamond"/>
          <w:bCs/>
        </w:rPr>
        <w:t xml:space="preserve"> McDonald’s hamburger</w:t>
      </w:r>
      <w:r w:rsidR="001D7106">
        <w:rPr>
          <w:rFonts w:ascii="Garamond" w:hAnsi="Garamond"/>
          <w:bCs/>
        </w:rPr>
        <w:t>.” This phrasing does not explicitly mention the monetary value of the good (since the Study 1 phrasing did not do so either) but implicitly cued money by mentioning that it took a given amount of time to “earn” the good</w:t>
      </w:r>
      <w:r w:rsidR="00AD621A">
        <w:rPr>
          <w:rFonts w:ascii="Garamond" w:hAnsi="Garamond"/>
          <w:bCs/>
        </w:rPr>
        <w:t>.</w:t>
      </w:r>
    </w:p>
    <w:p w14:paraId="6484697E" w14:textId="77777777" w:rsidR="00AD621A" w:rsidRDefault="00AD621A" w:rsidP="00AD621A">
      <w:pPr>
        <w:spacing w:line="276" w:lineRule="auto"/>
        <w:ind w:firstLine="360"/>
        <w:jc w:val="both"/>
        <w:rPr>
          <w:rFonts w:ascii="Garamond" w:hAnsi="Garamond"/>
          <w:bCs/>
        </w:rPr>
      </w:pPr>
    </w:p>
    <w:p w14:paraId="32109FE1" w14:textId="426BDFF6" w:rsidR="00AD621A" w:rsidRDefault="00AD621A" w:rsidP="00AD621A">
      <w:pPr>
        <w:spacing w:line="276" w:lineRule="auto"/>
        <w:ind w:firstLine="360"/>
        <w:jc w:val="both"/>
        <w:rPr>
          <w:rFonts w:ascii="Garamond" w:hAnsi="Garamond"/>
          <w:bCs/>
        </w:rPr>
      </w:pPr>
      <w:r>
        <w:rPr>
          <w:rFonts w:ascii="Garamond" w:hAnsi="Garamond"/>
          <w:b/>
          <w:bCs/>
        </w:rPr>
        <w:t>Results</w:t>
      </w:r>
      <w:r w:rsidR="00287C06">
        <w:rPr>
          <w:rFonts w:ascii="Garamond" w:hAnsi="Garamond"/>
          <w:b/>
          <w:bCs/>
        </w:rPr>
        <w:t xml:space="preserve"> and Discussion</w:t>
      </w:r>
      <w:r>
        <w:rPr>
          <w:rFonts w:ascii="Garamond" w:hAnsi="Garamond"/>
          <w:b/>
          <w:bCs/>
        </w:rPr>
        <w:t>.</w:t>
      </w:r>
      <w:r>
        <w:rPr>
          <w:rFonts w:ascii="Garamond" w:hAnsi="Garamond"/>
          <w:bCs/>
        </w:rPr>
        <w:t xml:space="preserve"> </w:t>
      </w:r>
      <w:r w:rsidR="00415B63">
        <w:rPr>
          <w:rFonts w:ascii="Garamond" w:hAnsi="Garamond"/>
          <w:bCs/>
        </w:rPr>
        <w:t xml:space="preserve">As shown in Figure S2, the asymmetries among buyers, sellers, and traders replicate once again, but are </w:t>
      </w:r>
      <w:r w:rsidR="00FC3356">
        <w:rPr>
          <w:rFonts w:ascii="Garamond" w:hAnsi="Garamond"/>
          <w:bCs/>
        </w:rPr>
        <w:t xml:space="preserve">generally </w:t>
      </w:r>
      <w:r w:rsidR="00415B63">
        <w:rPr>
          <w:rFonts w:ascii="Garamond" w:hAnsi="Garamond"/>
          <w:bCs/>
        </w:rPr>
        <w:t xml:space="preserve">smaller in Study S2A (in the </w:t>
      </w:r>
      <w:r w:rsidR="00415B63">
        <w:rPr>
          <w:rFonts w:ascii="Garamond" w:hAnsi="Garamond"/>
          <w:bCs/>
          <w:i/>
        </w:rPr>
        <w:t>time-frame</w:t>
      </w:r>
      <w:r w:rsidR="00415B63">
        <w:rPr>
          <w:rFonts w:ascii="Garamond" w:hAnsi="Garamond"/>
          <w:bCs/>
        </w:rPr>
        <w:t xml:space="preserve">) compared to Study 1 (the </w:t>
      </w:r>
      <w:r w:rsidR="00415B63">
        <w:rPr>
          <w:rFonts w:ascii="Garamond" w:hAnsi="Garamond"/>
          <w:bCs/>
          <w:i/>
        </w:rPr>
        <w:t>money-frame</w:t>
      </w:r>
      <w:r w:rsidR="00415B63">
        <w:rPr>
          <w:rFonts w:ascii="Garamond" w:hAnsi="Garamond"/>
          <w:bCs/>
        </w:rPr>
        <w:t xml:space="preserve">) or Study S2B (the </w:t>
      </w:r>
      <w:r w:rsidR="00415B63">
        <w:rPr>
          <w:rFonts w:ascii="Garamond" w:hAnsi="Garamond"/>
          <w:bCs/>
          <w:i/>
        </w:rPr>
        <w:t>money-plus-time-frame</w:t>
      </w:r>
      <w:r w:rsidR="00415B63">
        <w:rPr>
          <w:rFonts w:ascii="Garamond" w:hAnsi="Garamond"/>
          <w:bCs/>
        </w:rPr>
        <w:t>). This buttresses the results of Study 2</w:t>
      </w:r>
      <w:r w:rsidR="00FC3356">
        <w:rPr>
          <w:rFonts w:ascii="Garamond" w:hAnsi="Garamond"/>
          <w:bCs/>
        </w:rPr>
        <w:t xml:space="preserve"> </w:t>
      </w:r>
      <w:r w:rsidR="00415B63">
        <w:rPr>
          <w:rFonts w:ascii="Garamond" w:hAnsi="Garamond"/>
          <w:bCs/>
        </w:rPr>
        <w:t>and further implicates mercantilism as the driver of these effects by showing that it is avoiding money-talk, rather than introducing time-talk, that is driving these framing effects.</w:t>
      </w:r>
    </w:p>
    <w:p w14:paraId="081F1AE1" w14:textId="344A3330" w:rsidR="00B57C28" w:rsidRDefault="00B57C28" w:rsidP="00B57C28">
      <w:pPr>
        <w:spacing w:line="276" w:lineRule="auto"/>
        <w:ind w:firstLine="360"/>
        <w:jc w:val="both"/>
        <w:rPr>
          <w:rFonts w:ascii="Garamond" w:hAnsi="Garamond"/>
          <w:bCs/>
        </w:rPr>
      </w:pPr>
      <w:r>
        <w:rPr>
          <w:rFonts w:ascii="Garamond" w:hAnsi="Garamond"/>
          <w:bCs/>
        </w:rPr>
        <w:t>First, we note that the key asymmetries among buyers, sellers, and traders remain statistically robust in Studies S2A and S2B. Buyers were likelier to be deemed worse-off compared to sellers [</w:t>
      </w:r>
      <w:r>
        <w:rPr>
          <w:rFonts w:ascii="Garamond" w:hAnsi="Garamond"/>
          <w:bCs/>
          <w:i/>
        </w:rPr>
        <w:t>t</w:t>
      </w:r>
      <w:r>
        <w:rPr>
          <w:rFonts w:ascii="Garamond" w:hAnsi="Garamond"/>
          <w:bCs/>
        </w:rPr>
        <w:t xml:space="preserve">(60) = 4.68,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0.78 and </w:t>
      </w:r>
      <w:r>
        <w:rPr>
          <w:rFonts w:ascii="Garamond" w:hAnsi="Garamond"/>
          <w:bCs/>
          <w:i/>
        </w:rPr>
        <w:t>t</w:t>
      </w:r>
      <w:r>
        <w:rPr>
          <w:rFonts w:ascii="Garamond" w:hAnsi="Garamond"/>
          <w:bCs/>
        </w:rPr>
        <w:t xml:space="preserve">(82) = 6.94,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1.08 in Studies S2A and S2B, respectively], which led to higher welfare-change scores for buyers than for sellers [</w:t>
      </w:r>
      <w:r>
        <w:rPr>
          <w:rFonts w:ascii="Garamond" w:hAnsi="Garamond"/>
          <w:bCs/>
          <w:i/>
        </w:rPr>
        <w:t>t</w:t>
      </w:r>
      <w:r>
        <w:rPr>
          <w:rFonts w:ascii="Garamond" w:hAnsi="Garamond"/>
          <w:bCs/>
        </w:rPr>
        <w:t xml:space="preserve">(60) = 3.60,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0.49 and </w:t>
      </w:r>
      <w:r>
        <w:rPr>
          <w:rFonts w:ascii="Garamond" w:hAnsi="Garamond"/>
          <w:bCs/>
          <w:i/>
        </w:rPr>
        <w:t>t</w:t>
      </w:r>
      <w:r>
        <w:rPr>
          <w:rFonts w:ascii="Garamond" w:hAnsi="Garamond"/>
          <w:bCs/>
        </w:rPr>
        <w:t xml:space="preserve">(82) = 7.61,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0.85]. Moreover, traders were seen as likelier to experience no-benefit </w:t>
      </w:r>
      <w:r>
        <w:rPr>
          <w:rFonts w:ascii="Garamond" w:hAnsi="Garamond"/>
          <w:bCs/>
        </w:rPr>
        <w:lastRenderedPageBreak/>
        <w:t>compared to both buyers [</w:t>
      </w:r>
      <w:r>
        <w:rPr>
          <w:rFonts w:ascii="Garamond" w:hAnsi="Garamond"/>
          <w:bCs/>
          <w:i/>
        </w:rPr>
        <w:t>t</w:t>
      </w:r>
      <w:r>
        <w:rPr>
          <w:rFonts w:ascii="Garamond" w:hAnsi="Garamond"/>
          <w:bCs/>
        </w:rPr>
        <w:t xml:space="preserve">(60) = 5.11,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0.84 and </w:t>
      </w:r>
      <w:r>
        <w:rPr>
          <w:rFonts w:ascii="Garamond" w:hAnsi="Garamond"/>
          <w:bCs/>
          <w:i/>
        </w:rPr>
        <w:t>t</w:t>
      </w:r>
      <w:r>
        <w:rPr>
          <w:rFonts w:ascii="Garamond" w:hAnsi="Garamond"/>
          <w:bCs/>
        </w:rPr>
        <w:t xml:space="preserve">(82) = 9.02,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1.18] and sellers [</w:t>
      </w:r>
      <w:r>
        <w:rPr>
          <w:rFonts w:ascii="Garamond" w:hAnsi="Garamond"/>
          <w:bCs/>
          <w:i/>
        </w:rPr>
        <w:t>t</w:t>
      </w:r>
      <w:r>
        <w:rPr>
          <w:rFonts w:ascii="Garamond" w:hAnsi="Garamond"/>
          <w:bCs/>
        </w:rPr>
        <w:t xml:space="preserve">(60) = 4.42,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0.77 and </w:t>
      </w:r>
      <w:r>
        <w:rPr>
          <w:rFonts w:ascii="Garamond" w:hAnsi="Garamond"/>
          <w:bCs/>
          <w:i/>
        </w:rPr>
        <w:t>t</w:t>
      </w:r>
      <w:r>
        <w:rPr>
          <w:rFonts w:ascii="Garamond" w:hAnsi="Garamond"/>
          <w:bCs/>
        </w:rPr>
        <w:t xml:space="preserve">(82) = 9.22,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1.27], resulting in lower welfare-change scores on average for barters versus monetary transactions (averaging across buyers and sellers) [</w:t>
      </w:r>
      <w:r>
        <w:rPr>
          <w:rFonts w:ascii="Garamond" w:hAnsi="Garamond"/>
          <w:bCs/>
          <w:i/>
        </w:rPr>
        <w:t>t</w:t>
      </w:r>
      <w:r>
        <w:rPr>
          <w:rFonts w:ascii="Garamond" w:hAnsi="Garamond"/>
          <w:bCs/>
        </w:rPr>
        <w:t xml:space="preserve">(60) = 7.03,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0.60 and </w:t>
      </w:r>
      <w:r>
        <w:rPr>
          <w:rFonts w:ascii="Garamond" w:hAnsi="Garamond"/>
          <w:bCs/>
          <w:i/>
        </w:rPr>
        <w:t>t</w:t>
      </w:r>
      <w:r>
        <w:rPr>
          <w:rFonts w:ascii="Garamond" w:hAnsi="Garamond"/>
          <w:bCs/>
        </w:rPr>
        <w:t xml:space="preserve">(82) = 7.39,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0.75]. All of these results qualitatively </w:t>
      </w:r>
      <w:r>
        <w:rPr>
          <w:noProof/>
        </w:rPr>
        <w:drawing>
          <wp:anchor distT="0" distB="0" distL="114300" distR="114300" simplePos="0" relativeHeight="251684864" behindDoc="0" locked="0" layoutInCell="1" allowOverlap="1" wp14:anchorId="7B196DAA" wp14:editId="504A9101">
            <wp:simplePos x="0" y="0"/>
            <wp:positionH relativeFrom="column">
              <wp:posOffset>-350520</wp:posOffset>
            </wp:positionH>
            <wp:positionV relativeFrom="page">
              <wp:posOffset>1995805</wp:posOffset>
            </wp:positionV>
            <wp:extent cx="6806565" cy="3100070"/>
            <wp:effectExtent l="0" t="0" r="635"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Garamond" w:hAnsi="Garamond"/>
          <w:bCs/>
        </w:rPr>
        <w:t>replicate the asymmetries found in the other studies.</w:t>
      </w:r>
    </w:p>
    <w:p w14:paraId="2B1272FC" w14:textId="433B160D" w:rsidR="00B57C28" w:rsidRDefault="00B57C28" w:rsidP="00B57C28">
      <w:pPr>
        <w:spacing w:line="276" w:lineRule="auto"/>
        <w:ind w:right="720"/>
        <w:jc w:val="both"/>
        <w:rPr>
          <w:rFonts w:ascii="Garamond" w:hAnsi="Garamond"/>
          <w:bCs/>
          <w:i/>
          <w:sz w:val="20"/>
          <w:szCs w:val="20"/>
        </w:rPr>
      </w:pPr>
    </w:p>
    <w:p w14:paraId="2ECCE575" w14:textId="06B36410" w:rsidR="007926BC" w:rsidRDefault="007926BC" w:rsidP="007926BC">
      <w:pPr>
        <w:spacing w:line="276" w:lineRule="auto"/>
        <w:ind w:left="720" w:right="720"/>
        <w:jc w:val="both"/>
        <w:rPr>
          <w:rFonts w:ascii="Garamond" w:hAnsi="Garamond"/>
          <w:bCs/>
        </w:rPr>
      </w:pPr>
      <w:r w:rsidRPr="00221273">
        <w:rPr>
          <w:rFonts w:ascii="Garamond" w:hAnsi="Garamond"/>
          <w:bCs/>
          <w:i/>
          <w:sz w:val="20"/>
          <w:szCs w:val="20"/>
        </w:rPr>
        <w:t>Figure S</w:t>
      </w:r>
      <w:r>
        <w:rPr>
          <w:rFonts w:ascii="Garamond" w:hAnsi="Garamond"/>
          <w:bCs/>
          <w:i/>
          <w:sz w:val="20"/>
          <w:szCs w:val="20"/>
        </w:rPr>
        <w:t>2</w:t>
      </w:r>
      <w:r w:rsidRPr="00221273">
        <w:rPr>
          <w:rFonts w:ascii="Garamond" w:hAnsi="Garamond"/>
          <w:bCs/>
          <w:sz w:val="20"/>
          <w:szCs w:val="20"/>
        </w:rPr>
        <w:t>. Proportion</w:t>
      </w:r>
      <w:r w:rsidRPr="003E176C">
        <w:rPr>
          <w:rFonts w:ascii="Garamond" w:hAnsi="Garamond"/>
          <w:bCs/>
          <w:sz w:val="20"/>
          <w:szCs w:val="20"/>
        </w:rPr>
        <w:t xml:space="preserve"> of transactions perceived as having negative, zero, or positive impact on buyers, sellers, and traders in </w:t>
      </w:r>
      <w:r>
        <w:rPr>
          <w:rFonts w:ascii="Garamond" w:hAnsi="Garamond"/>
          <w:bCs/>
          <w:sz w:val="20"/>
          <w:szCs w:val="20"/>
        </w:rPr>
        <w:t xml:space="preserve">the </w:t>
      </w:r>
      <w:r>
        <w:rPr>
          <w:rFonts w:ascii="Garamond" w:hAnsi="Garamond"/>
          <w:bCs/>
          <w:i/>
          <w:sz w:val="20"/>
          <w:szCs w:val="20"/>
        </w:rPr>
        <w:t xml:space="preserve">money-frame </w:t>
      </w:r>
      <w:r>
        <w:rPr>
          <w:rFonts w:ascii="Garamond" w:hAnsi="Garamond"/>
          <w:bCs/>
          <w:sz w:val="20"/>
          <w:szCs w:val="20"/>
        </w:rPr>
        <w:t xml:space="preserve">condition (Study 1), </w:t>
      </w:r>
      <w:r>
        <w:rPr>
          <w:rFonts w:ascii="Garamond" w:hAnsi="Garamond"/>
          <w:bCs/>
          <w:i/>
          <w:sz w:val="20"/>
          <w:szCs w:val="20"/>
        </w:rPr>
        <w:t>time-frame</w:t>
      </w:r>
      <w:r>
        <w:rPr>
          <w:rFonts w:ascii="Garamond" w:hAnsi="Garamond"/>
          <w:bCs/>
          <w:sz w:val="20"/>
          <w:szCs w:val="20"/>
        </w:rPr>
        <w:t xml:space="preserve"> condition (Study S2A), and </w:t>
      </w:r>
      <w:r>
        <w:rPr>
          <w:rFonts w:ascii="Garamond" w:hAnsi="Garamond"/>
          <w:bCs/>
          <w:i/>
          <w:sz w:val="20"/>
          <w:szCs w:val="20"/>
        </w:rPr>
        <w:t xml:space="preserve">money-plus-time </w:t>
      </w:r>
      <w:r>
        <w:rPr>
          <w:rFonts w:ascii="Garamond" w:hAnsi="Garamond"/>
          <w:bCs/>
          <w:sz w:val="20"/>
          <w:szCs w:val="20"/>
        </w:rPr>
        <w:t>condition (Study S2B).</w:t>
      </w:r>
    </w:p>
    <w:p w14:paraId="543C2430" w14:textId="77777777" w:rsidR="007926BC" w:rsidRDefault="007926BC" w:rsidP="007926BC">
      <w:pPr>
        <w:spacing w:line="276" w:lineRule="auto"/>
        <w:ind w:firstLine="360"/>
        <w:jc w:val="both"/>
        <w:rPr>
          <w:rFonts w:ascii="Garamond" w:hAnsi="Garamond"/>
          <w:bCs/>
        </w:rPr>
      </w:pPr>
    </w:p>
    <w:p w14:paraId="7743BB00" w14:textId="06E51166" w:rsidR="0081533A" w:rsidRDefault="0081533A" w:rsidP="0081533A">
      <w:pPr>
        <w:spacing w:line="276" w:lineRule="auto"/>
        <w:ind w:firstLine="360"/>
        <w:jc w:val="both"/>
        <w:rPr>
          <w:rFonts w:ascii="Garamond" w:hAnsi="Garamond"/>
          <w:bCs/>
        </w:rPr>
      </w:pPr>
      <w:r>
        <w:rPr>
          <w:rFonts w:ascii="Garamond" w:hAnsi="Garamond"/>
          <w:bCs/>
        </w:rPr>
        <w:t>But quantitatively, there was some evidence for variation in the magnitude of these</w:t>
      </w:r>
      <w:r w:rsidR="00110D28">
        <w:rPr>
          <w:rFonts w:ascii="Garamond" w:hAnsi="Garamond"/>
          <w:bCs/>
        </w:rPr>
        <w:t xml:space="preserve"> asymmetries across studies. Just as the asymmetries were smaller in the </w:t>
      </w:r>
      <w:r w:rsidR="00110D28">
        <w:rPr>
          <w:rFonts w:ascii="Garamond" w:hAnsi="Garamond"/>
          <w:bCs/>
          <w:i/>
        </w:rPr>
        <w:t xml:space="preserve">time-frame </w:t>
      </w:r>
      <w:r w:rsidR="00110D28">
        <w:rPr>
          <w:rFonts w:ascii="Garamond" w:hAnsi="Garamond"/>
          <w:bCs/>
        </w:rPr>
        <w:t xml:space="preserve">condition of Study 2 compared to the </w:t>
      </w:r>
      <w:r w:rsidR="00110D28">
        <w:rPr>
          <w:rFonts w:ascii="Garamond" w:hAnsi="Garamond"/>
          <w:bCs/>
          <w:i/>
        </w:rPr>
        <w:t xml:space="preserve">money-frame </w:t>
      </w:r>
      <w:r w:rsidR="00110D28">
        <w:rPr>
          <w:rFonts w:ascii="Garamond" w:hAnsi="Garamond"/>
          <w:bCs/>
        </w:rPr>
        <w:t>condition, the asymmetries were smaller</w:t>
      </w:r>
      <w:r>
        <w:rPr>
          <w:rFonts w:ascii="Garamond" w:hAnsi="Garamond"/>
          <w:bCs/>
        </w:rPr>
        <w:t xml:space="preserve"> in Study S2A than in Study 1. Some of these differences across studies reached significance and others did not, but all were directionally consistent with predictions.</w:t>
      </w:r>
    </w:p>
    <w:p w14:paraId="51429EA6" w14:textId="6AB88FF0" w:rsidR="0081533A" w:rsidRDefault="008F60AE" w:rsidP="0081533A">
      <w:pPr>
        <w:spacing w:line="276" w:lineRule="auto"/>
        <w:ind w:firstLine="360"/>
        <w:jc w:val="both"/>
        <w:rPr>
          <w:rFonts w:ascii="Garamond" w:hAnsi="Garamond"/>
          <w:bCs/>
        </w:rPr>
      </w:pPr>
      <w:r>
        <w:rPr>
          <w:rFonts w:ascii="Garamond" w:hAnsi="Garamond"/>
          <w:bCs/>
        </w:rPr>
        <w:t xml:space="preserve">Buyers were seen as </w:t>
      </w:r>
      <w:r w:rsidR="00FC3356">
        <w:rPr>
          <w:rFonts w:ascii="Garamond" w:hAnsi="Garamond"/>
          <w:bCs/>
        </w:rPr>
        <w:t xml:space="preserve">directionally (but not significantly) </w:t>
      </w:r>
      <w:r>
        <w:rPr>
          <w:rFonts w:ascii="Garamond" w:hAnsi="Garamond"/>
          <w:bCs/>
        </w:rPr>
        <w:t>less likely to experience negative welfare-change in Study S2A</w:t>
      </w:r>
      <w:r w:rsidR="0081533A">
        <w:rPr>
          <w:rFonts w:ascii="Garamond" w:hAnsi="Garamond"/>
          <w:bCs/>
        </w:rPr>
        <w:t xml:space="preserve"> [</w:t>
      </w:r>
      <w:r w:rsidR="0081533A">
        <w:rPr>
          <w:rFonts w:ascii="Garamond" w:hAnsi="Garamond"/>
          <w:bCs/>
          <w:i/>
        </w:rPr>
        <w:t>M</w:t>
      </w:r>
      <w:r w:rsidR="0081533A">
        <w:rPr>
          <w:rFonts w:ascii="Garamond" w:hAnsi="Garamond"/>
          <w:bCs/>
        </w:rPr>
        <w:t xml:space="preserve"> = 1.98, </w:t>
      </w:r>
      <w:r w:rsidR="0081533A">
        <w:rPr>
          <w:rFonts w:ascii="Garamond" w:hAnsi="Garamond"/>
          <w:bCs/>
          <w:i/>
        </w:rPr>
        <w:t>SD</w:t>
      </w:r>
      <w:r w:rsidR="0081533A">
        <w:rPr>
          <w:rFonts w:ascii="Garamond" w:hAnsi="Garamond"/>
          <w:bCs/>
        </w:rPr>
        <w:t xml:space="preserve"> = 2.12 out of 8]</w:t>
      </w:r>
      <w:r>
        <w:rPr>
          <w:rFonts w:ascii="Garamond" w:hAnsi="Garamond"/>
          <w:bCs/>
        </w:rPr>
        <w:t xml:space="preserve"> compared to Study 1[</w:t>
      </w:r>
      <w:r>
        <w:rPr>
          <w:rFonts w:ascii="Garamond" w:hAnsi="Garamond"/>
          <w:bCs/>
          <w:i/>
        </w:rPr>
        <w:t>M</w:t>
      </w:r>
      <w:r>
        <w:rPr>
          <w:rFonts w:ascii="Garamond" w:hAnsi="Garamond"/>
          <w:bCs/>
        </w:rPr>
        <w:t xml:space="preserve"> = 2.53, </w:t>
      </w:r>
      <w:r>
        <w:rPr>
          <w:rFonts w:ascii="Garamond" w:hAnsi="Garamond"/>
          <w:bCs/>
          <w:i/>
        </w:rPr>
        <w:t>SD</w:t>
      </w:r>
      <w:r>
        <w:rPr>
          <w:rFonts w:ascii="Garamond" w:hAnsi="Garamond"/>
          <w:bCs/>
        </w:rPr>
        <w:t xml:space="preserve"> = 2.47 out of 8; </w:t>
      </w:r>
      <w:r>
        <w:rPr>
          <w:rFonts w:ascii="Garamond" w:hAnsi="Garamond"/>
          <w:bCs/>
          <w:i/>
        </w:rPr>
        <w:t>t</w:t>
      </w:r>
      <w:r>
        <w:rPr>
          <w:rFonts w:ascii="Garamond" w:hAnsi="Garamond"/>
          <w:bCs/>
        </w:rPr>
        <w:t>(</w:t>
      </w:r>
      <w:r w:rsidR="00FC3356">
        <w:rPr>
          <w:rFonts w:ascii="Garamond" w:hAnsi="Garamond"/>
          <w:bCs/>
        </w:rPr>
        <w:t xml:space="preserve">145) = 1.41, </w:t>
      </w:r>
      <w:r w:rsidR="00FC3356">
        <w:rPr>
          <w:rFonts w:ascii="Garamond" w:hAnsi="Garamond"/>
          <w:bCs/>
          <w:i/>
        </w:rPr>
        <w:t>p</w:t>
      </w:r>
      <w:r w:rsidR="00FC3356">
        <w:rPr>
          <w:rFonts w:ascii="Garamond" w:hAnsi="Garamond"/>
          <w:bCs/>
        </w:rPr>
        <w:t xml:space="preserve"> = .16, </w:t>
      </w:r>
      <w:r w:rsidR="00FC3356">
        <w:rPr>
          <w:rFonts w:ascii="Garamond" w:hAnsi="Garamond"/>
          <w:bCs/>
          <w:i/>
        </w:rPr>
        <w:t>d</w:t>
      </w:r>
      <w:r w:rsidR="00FC3356">
        <w:rPr>
          <w:rFonts w:ascii="Garamond" w:hAnsi="Garamond"/>
          <w:bCs/>
        </w:rPr>
        <w:t xml:space="preserve"> = 0.24]</w:t>
      </w:r>
      <w:r w:rsidR="0081533A">
        <w:rPr>
          <w:rFonts w:ascii="Garamond" w:hAnsi="Garamond"/>
          <w:bCs/>
        </w:rPr>
        <w:t xml:space="preserve"> or Study S2B [</w:t>
      </w:r>
      <w:r w:rsidR="0081533A">
        <w:rPr>
          <w:rFonts w:ascii="Garamond" w:hAnsi="Garamond"/>
          <w:bCs/>
          <w:i/>
        </w:rPr>
        <w:t>M</w:t>
      </w:r>
      <w:r w:rsidR="0081533A">
        <w:rPr>
          <w:rFonts w:ascii="Garamond" w:hAnsi="Garamond"/>
          <w:bCs/>
        </w:rPr>
        <w:t xml:space="preserve"> = 2.54, </w:t>
      </w:r>
      <w:r w:rsidR="0081533A">
        <w:rPr>
          <w:rFonts w:ascii="Garamond" w:hAnsi="Garamond"/>
          <w:bCs/>
          <w:i/>
        </w:rPr>
        <w:t>SD</w:t>
      </w:r>
      <w:r w:rsidR="0081533A">
        <w:rPr>
          <w:rFonts w:ascii="Garamond" w:hAnsi="Garamond"/>
          <w:bCs/>
        </w:rPr>
        <w:t xml:space="preserve"> = 2.58 out of 8; </w:t>
      </w:r>
      <w:r w:rsidR="0081533A">
        <w:rPr>
          <w:rFonts w:ascii="Garamond" w:hAnsi="Garamond"/>
          <w:bCs/>
          <w:i/>
        </w:rPr>
        <w:t>t</w:t>
      </w:r>
      <w:r w:rsidR="0081533A">
        <w:rPr>
          <w:rFonts w:ascii="Garamond" w:hAnsi="Garamond"/>
          <w:bCs/>
        </w:rPr>
        <w:t xml:space="preserve">(142) = 1.38, </w:t>
      </w:r>
      <w:r w:rsidR="0081533A">
        <w:rPr>
          <w:rFonts w:ascii="Garamond" w:hAnsi="Garamond"/>
          <w:bCs/>
          <w:i/>
        </w:rPr>
        <w:t>p</w:t>
      </w:r>
      <w:r w:rsidR="0081533A">
        <w:rPr>
          <w:rFonts w:ascii="Garamond" w:hAnsi="Garamond"/>
          <w:bCs/>
        </w:rPr>
        <w:t xml:space="preserve"> = .17</w:t>
      </w:r>
      <w:r w:rsidR="00287C06">
        <w:rPr>
          <w:rFonts w:ascii="Garamond" w:hAnsi="Garamond"/>
          <w:bCs/>
        </w:rPr>
        <w:t xml:space="preserve">, </w:t>
      </w:r>
      <w:r w:rsidR="00287C06">
        <w:rPr>
          <w:rFonts w:ascii="Garamond" w:hAnsi="Garamond"/>
          <w:bCs/>
          <w:i/>
        </w:rPr>
        <w:t>d</w:t>
      </w:r>
      <w:r w:rsidR="00287C06">
        <w:rPr>
          <w:rFonts w:ascii="Garamond" w:hAnsi="Garamond"/>
          <w:bCs/>
        </w:rPr>
        <w:t xml:space="preserve"> = 0.23</w:t>
      </w:r>
      <w:r w:rsidR="0081533A">
        <w:rPr>
          <w:rFonts w:ascii="Garamond" w:hAnsi="Garamond"/>
          <w:bCs/>
        </w:rPr>
        <w:t xml:space="preserve">]. These led to comparable (non-significant) trends on mean welfare-change scores </w:t>
      </w:r>
      <w:r w:rsidR="00287C06">
        <w:rPr>
          <w:rFonts w:ascii="Garamond" w:hAnsi="Garamond"/>
          <w:bCs/>
        </w:rPr>
        <w:t xml:space="preserve">for buyers </w:t>
      </w:r>
      <w:r w:rsidR="0081533A">
        <w:rPr>
          <w:rFonts w:ascii="Garamond" w:hAnsi="Garamond"/>
          <w:bCs/>
        </w:rPr>
        <w:t>across experiments [</w:t>
      </w:r>
      <w:r w:rsidR="001311F7">
        <w:rPr>
          <w:rFonts w:ascii="Garamond" w:hAnsi="Garamond"/>
          <w:bCs/>
          <w:i/>
        </w:rPr>
        <w:t>M</w:t>
      </w:r>
      <w:r w:rsidR="001311F7">
        <w:rPr>
          <w:rFonts w:ascii="Garamond" w:hAnsi="Garamond"/>
          <w:bCs/>
        </w:rPr>
        <w:t xml:space="preserve"> = 1.03, </w:t>
      </w:r>
      <w:r w:rsidR="001311F7">
        <w:rPr>
          <w:rFonts w:ascii="Garamond" w:hAnsi="Garamond"/>
          <w:bCs/>
          <w:i/>
        </w:rPr>
        <w:t>SD</w:t>
      </w:r>
      <w:r w:rsidR="001311F7">
        <w:rPr>
          <w:rFonts w:ascii="Garamond" w:hAnsi="Garamond"/>
          <w:bCs/>
        </w:rPr>
        <w:t xml:space="preserve"> = 1.41 vs. </w:t>
      </w:r>
      <w:r w:rsidR="001311F7">
        <w:rPr>
          <w:rFonts w:ascii="Garamond" w:hAnsi="Garamond"/>
          <w:bCs/>
          <w:i/>
        </w:rPr>
        <w:t>M</w:t>
      </w:r>
      <w:r w:rsidR="001311F7">
        <w:rPr>
          <w:rFonts w:ascii="Garamond" w:hAnsi="Garamond"/>
          <w:bCs/>
        </w:rPr>
        <w:t xml:space="preserve"> = 0.69, </w:t>
      </w:r>
      <w:r w:rsidR="001311F7">
        <w:rPr>
          <w:rFonts w:ascii="Garamond" w:hAnsi="Garamond"/>
          <w:bCs/>
          <w:i/>
        </w:rPr>
        <w:t>SD</w:t>
      </w:r>
      <w:r w:rsidR="001311F7">
        <w:rPr>
          <w:rFonts w:ascii="Garamond" w:hAnsi="Garamond"/>
          <w:bCs/>
        </w:rPr>
        <w:t xml:space="preserve"> = 1.48</w:t>
      </w:r>
      <w:r w:rsidR="0081533A">
        <w:rPr>
          <w:rFonts w:ascii="Garamond" w:hAnsi="Garamond"/>
          <w:bCs/>
        </w:rPr>
        <w:t xml:space="preserve"> vs. </w:t>
      </w:r>
      <w:r w:rsidR="0081533A">
        <w:rPr>
          <w:rFonts w:ascii="Garamond" w:hAnsi="Garamond"/>
          <w:bCs/>
          <w:i/>
        </w:rPr>
        <w:t>M</w:t>
      </w:r>
      <w:r w:rsidR="0081533A">
        <w:rPr>
          <w:rFonts w:ascii="Garamond" w:hAnsi="Garamond"/>
          <w:bCs/>
        </w:rPr>
        <w:t xml:space="preserve"> = 0.74, </w:t>
      </w:r>
      <w:r w:rsidR="0081533A">
        <w:rPr>
          <w:rFonts w:ascii="Garamond" w:hAnsi="Garamond"/>
          <w:bCs/>
          <w:i/>
        </w:rPr>
        <w:t>SD</w:t>
      </w:r>
      <w:r w:rsidR="0081533A">
        <w:rPr>
          <w:rFonts w:ascii="Garamond" w:hAnsi="Garamond"/>
          <w:bCs/>
        </w:rPr>
        <w:t xml:space="preserve"> = 1.38</w:t>
      </w:r>
      <w:r w:rsidR="001311F7">
        <w:rPr>
          <w:rFonts w:ascii="Garamond" w:hAnsi="Garamond"/>
          <w:bCs/>
        </w:rPr>
        <w:t xml:space="preserve">; </w:t>
      </w:r>
      <w:r w:rsidR="001311F7">
        <w:rPr>
          <w:rFonts w:ascii="Garamond" w:hAnsi="Garamond"/>
          <w:bCs/>
          <w:i/>
        </w:rPr>
        <w:t>t</w:t>
      </w:r>
      <w:r w:rsidR="001311F7">
        <w:rPr>
          <w:rFonts w:ascii="Garamond" w:hAnsi="Garamond"/>
          <w:bCs/>
        </w:rPr>
        <w:t xml:space="preserve">(145) = 1.45, </w:t>
      </w:r>
      <w:r w:rsidR="001311F7">
        <w:rPr>
          <w:rFonts w:ascii="Garamond" w:hAnsi="Garamond"/>
          <w:bCs/>
          <w:i/>
        </w:rPr>
        <w:t>p</w:t>
      </w:r>
      <w:r w:rsidR="001311F7">
        <w:rPr>
          <w:rFonts w:ascii="Garamond" w:hAnsi="Garamond"/>
          <w:bCs/>
        </w:rPr>
        <w:t xml:space="preserve"> = .15, </w:t>
      </w:r>
      <w:r w:rsidR="001311F7">
        <w:rPr>
          <w:rFonts w:ascii="Garamond" w:hAnsi="Garamond"/>
          <w:bCs/>
          <w:i/>
        </w:rPr>
        <w:t>d</w:t>
      </w:r>
      <w:r w:rsidR="001311F7">
        <w:rPr>
          <w:rFonts w:ascii="Garamond" w:hAnsi="Garamond"/>
          <w:bCs/>
        </w:rPr>
        <w:t xml:space="preserve"> = 0.24</w:t>
      </w:r>
      <w:r w:rsidR="0081533A">
        <w:rPr>
          <w:rFonts w:ascii="Garamond" w:hAnsi="Garamond"/>
          <w:bCs/>
        </w:rPr>
        <w:t xml:space="preserve"> and </w:t>
      </w:r>
      <w:r w:rsidR="0081533A">
        <w:rPr>
          <w:rFonts w:ascii="Garamond" w:hAnsi="Garamond"/>
          <w:bCs/>
          <w:i/>
        </w:rPr>
        <w:t>t</w:t>
      </w:r>
      <w:r w:rsidR="0081533A">
        <w:rPr>
          <w:rFonts w:ascii="Garamond" w:hAnsi="Garamond"/>
          <w:bCs/>
        </w:rPr>
        <w:t xml:space="preserve">(142) = 1.28, </w:t>
      </w:r>
      <w:r w:rsidR="0081533A">
        <w:rPr>
          <w:rFonts w:ascii="Garamond" w:hAnsi="Garamond"/>
          <w:bCs/>
          <w:i/>
        </w:rPr>
        <w:t>p</w:t>
      </w:r>
      <w:r w:rsidR="0081533A">
        <w:rPr>
          <w:rFonts w:ascii="Garamond" w:hAnsi="Garamond"/>
          <w:bCs/>
        </w:rPr>
        <w:t xml:space="preserve"> = .20, </w:t>
      </w:r>
      <w:r w:rsidR="0081533A">
        <w:rPr>
          <w:rFonts w:ascii="Garamond" w:hAnsi="Garamond"/>
          <w:bCs/>
          <w:i/>
        </w:rPr>
        <w:t>d</w:t>
      </w:r>
      <w:r w:rsidR="00287C06">
        <w:rPr>
          <w:rFonts w:ascii="Garamond" w:hAnsi="Garamond"/>
          <w:bCs/>
        </w:rPr>
        <w:t xml:space="preserve"> = 0.22</w:t>
      </w:r>
      <w:r w:rsidR="001311F7">
        <w:rPr>
          <w:rFonts w:ascii="Garamond" w:hAnsi="Garamond"/>
          <w:bCs/>
        </w:rPr>
        <w:t>].</w:t>
      </w:r>
    </w:p>
    <w:p w14:paraId="7CA398A4" w14:textId="4576CDFE" w:rsidR="00287C06" w:rsidRPr="00287C06" w:rsidRDefault="001311F7" w:rsidP="0081533A">
      <w:pPr>
        <w:spacing w:line="276" w:lineRule="auto"/>
        <w:ind w:firstLine="360"/>
        <w:jc w:val="both"/>
        <w:rPr>
          <w:rFonts w:ascii="Garamond" w:hAnsi="Garamond"/>
          <w:bCs/>
        </w:rPr>
      </w:pPr>
      <w:r>
        <w:rPr>
          <w:rFonts w:ascii="Garamond" w:hAnsi="Garamond"/>
          <w:bCs/>
        </w:rPr>
        <w:t xml:space="preserve">Traders were seen as </w:t>
      </w:r>
      <w:r w:rsidR="0081533A">
        <w:rPr>
          <w:rFonts w:ascii="Garamond" w:hAnsi="Garamond"/>
          <w:bCs/>
        </w:rPr>
        <w:t>significantly less likely to experience no-benefit in Study S2A [</w:t>
      </w:r>
      <w:r w:rsidR="0081533A">
        <w:rPr>
          <w:rFonts w:ascii="Garamond" w:hAnsi="Garamond"/>
          <w:bCs/>
          <w:i/>
        </w:rPr>
        <w:t>M</w:t>
      </w:r>
      <w:r w:rsidR="0081533A">
        <w:rPr>
          <w:rFonts w:ascii="Garamond" w:hAnsi="Garamond"/>
          <w:bCs/>
        </w:rPr>
        <w:t xml:space="preserve"> =</w:t>
      </w:r>
      <w:r w:rsidR="00287C06">
        <w:rPr>
          <w:rFonts w:ascii="Garamond" w:hAnsi="Garamond"/>
          <w:bCs/>
        </w:rPr>
        <w:t xml:space="preserve"> 2.00, </w:t>
      </w:r>
      <w:r w:rsidR="00287C06">
        <w:rPr>
          <w:rFonts w:ascii="Garamond" w:hAnsi="Garamond"/>
          <w:bCs/>
          <w:i/>
        </w:rPr>
        <w:t>SD</w:t>
      </w:r>
      <w:r w:rsidR="00287C06">
        <w:rPr>
          <w:rFonts w:ascii="Garamond" w:hAnsi="Garamond"/>
          <w:bCs/>
        </w:rPr>
        <w:t xml:space="preserve"> = 2.37 out of 8] compared to Study 1 [</w:t>
      </w:r>
      <w:r w:rsidR="00287C06">
        <w:rPr>
          <w:rFonts w:ascii="Garamond" w:hAnsi="Garamond"/>
          <w:bCs/>
          <w:i/>
        </w:rPr>
        <w:t>M</w:t>
      </w:r>
      <w:r w:rsidR="00287C06">
        <w:rPr>
          <w:rFonts w:ascii="Garamond" w:hAnsi="Garamond"/>
          <w:bCs/>
        </w:rPr>
        <w:t xml:space="preserve"> = 3.29, </w:t>
      </w:r>
      <w:r w:rsidR="00287C06">
        <w:rPr>
          <w:rFonts w:ascii="Garamond" w:hAnsi="Garamond"/>
          <w:bCs/>
          <w:i/>
        </w:rPr>
        <w:t>SD</w:t>
      </w:r>
      <w:r w:rsidR="00287C06">
        <w:rPr>
          <w:rFonts w:ascii="Garamond" w:hAnsi="Garamond"/>
          <w:bCs/>
        </w:rPr>
        <w:t xml:space="preserve"> = 2.98 out of 8; </w:t>
      </w:r>
      <w:r w:rsidR="00287C06">
        <w:rPr>
          <w:rFonts w:ascii="Garamond" w:hAnsi="Garamond"/>
          <w:bCs/>
          <w:i/>
        </w:rPr>
        <w:t>t</w:t>
      </w:r>
      <w:r w:rsidR="00287C06">
        <w:rPr>
          <w:rFonts w:ascii="Garamond" w:hAnsi="Garamond"/>
          <w:bCs/>
        </w:rPr>
        <w:t xml:space="preserve">(145) = 2.81, </w:t>
      </w:r>
      <w:r w:rsidR="00287C06">
        <w:rPr>
          <w:rFonts w:ascii="Garamond" w:hAnsi="Garamond"/>
          <w:bCs/>
          <w:i/>
        </w:rPr>
        <w:t>p</w:t>
      </w:r>
      <w:r w:rsidR="00287C06">
        <w:rPr>
          <w:rFonts w:ascii="Garamond" w:hAnsi="Garamond"/>
          <w:bCs/>
        </w:rPr>
        <w:t xml:space="preserve"> = .006, </w:t>
      </w:r>
      <w:r w:rsidR="00287C06">
        <w:rPr>
          <w:rFonts w:ascii="Garamond" w:hAnsi="Garamond"/>
          <w:bCs/>
          <w:i/>
        </w:rPr>
        <w:t>d</w:t>
      </w:r>
      <w:r w:rsidR="00287C06">
        <w:rPr>
          <w:rFonts w:ascii="Garamond" w:hAnsi="Garamond"/>
          <w:bCs/>
        </w:rPr>
        <w:t xml:space="preserve"> = 0.47] or Study S2B [</w:t>
      </w:r>
      <w:r w:rsidR="00287C06">
        <w:rPr>
          <w:rFonts w:ascii="Garamond" w:hAnsi="Garamond"/>
          <w:bCs/>
          <w:i/>
        </w:rPr>
        <w:t>M</w:t>
      </w:r>
      <w:r w:rsidR="00287C06">
        <w:rPr>
          <w:rFonts w:ascii="Garamond" w:hAnsi="Garamond"/>
          <w:bCs/>
        </w:rPr>
        <w:t xml:space="preserve"> = 3.43, </w:t>
      </w:r>
      <w:r w:rsidR="00287C06">
        <w:rPr>
          <w:rFonts w:ascii="Garamond" w:hAnsi="Garamond"/>
          <w:bCs/>
          <w:i/>
        </w:rPr>
        <w:t>SD</w:t>
      </w:r>
      <w:r w:rsidR="00287C06">
        <w:rPr>
          <w:rFonts w:ascii="Garamond" w:hAnsi="Garamond"/>
          <w:bCs/>
        </w:rPr>
        <w:t xml:space="preserve"> = 3.01 out of 8; </w:t>
      </w:r>
      <w:r w:rsidR="00287C06">
        <w:rPr>
          <w:rFonts w:ascii="Garamond" w:hAnsi="Garamond"/>
          <w:bCs/>
          <w:i/>
        </w:rPr>
        <w:t>t</w:t>
      </w:r>
      <w:r w:rsidR="00287C06">
        <w:rPr>
          <w:rFonts w:ascii="Garamond" w:hAnsi="Garamond"/>
          <w:bCs/>
        </w:rPr>
        <w:t xml:space="preserve">(142) = 3.08, </w:t>
      </w:r>
      <w:r w:rsidR="00287C06">
        <w:rPr>
          <w:rFonts w:ascii="Garamond" w:hAnsi="Garamond"/>
          <w:bCs/>
          <w:i/>
        </w:rPr>
        <w:t>p</w:t>
      </w:r>
      <w:r w:rsidR="00287C06">
        <w:rPr>
          <w:rFonts w:ascii="Garamond" w:hAnsi="Garamond"/>
          <w:bCs/>
        </w:rPr>
        <w:t xml:space="preserve"> = .002, </w:t>
      </w:r>
      <w:r w:rsidR="00287C06">
        <w:rPr>
          <w:rFonts w:ascii="Garamond" w:hAnsi="Garamond"/>
          <w:bCs/>
          <w:i/>
        </w:rPr>
        <w:t>d</w:t>
      </w:r>
      <w:r w:rsidR="00287C06">
        <w:rPr>
          <w:rFonts w:ascii="Garamond" w:hAnsi="Garamond"/>
          <w:bCs/>
        </w:rPr>
        <w:t xml:space="preserve"> = 0.52]. However, the differences in mean welfare-change scores for traders across experiments did not reach significance [</w:t>
      </w:r>
      <w:r w:rsidR="00287C06">
        <w:rPr>
          <w:rFonts w:ascii="Garamond" w:hAnsi="Garamond"/>
          <w:bCs/>
          <w:i/>
        </w:rPr>
        <w:t>M</w:t>
      </w:r>
      <w:r w:rsidR="00287C06">
        <w:rPr>
          <w:rFonts w:ascii="Garamond" w:hAnsi="Garamond"/>
          <w:bCs/>
        </w:rPr>
        <w:t xml:space="preserve"> = 0.71, </w:t>
      </w:r>
      <w:r w:rsidR="00287C06">
        <w:rPr>
          <w:rFonts w:ascii="Garamond" w:hAnsi="Garamond"/>
          <w:bCs/>
          <w:i/>
        </w:rPr>
        <w:lastRenderedPageBreak/>
        <w:t>SD</w:t>
      </w:r>
      <w:r w:rsidR="00287C06">
        <w:rPr>
          <w:rFonts w:ascii="Garamond" w:hAnsi="Garamond"/>
          <w:bCs/>
        </w:rPr>
        <w:t xml:space="preserve"> = 1.06 vs. </w:t>
      </w:r>
      <w:r w:rsidR="00287C06">
        <w:rPr>
          <w:rFonts w:ascii="Garamond" w:hAnsi="Garamond"/>
          <w:bCs/>
          <w:i/>
        </w:rPr>
        <w:t>M</w:t>
      </w:r>
      <w:r w:rsidR="00287C06">
        <w:rPr>
          <w:rFonts w:ascii="Garamond" w:hAnsi="Garamond"/>
          <w:bCs/>
        </w:rPr>
        <w:t xml:space="preserve"> = 0.51, </w:t>
      </w:r>
      <w:r w:rsidR="00287C06">
        <w:rPr>
          <w:rFonts w:ascii="Garamond" w:hAnsi="Garamond"/>
          <w:bCs/>
          <w:i/>
        </w:rPr>
        <w:t>SD</w:t>
      </w:r>
      <w:r w:rsidR="00287C06">
        <w:rPr>
          <w:rFonts w:ascii="Garamond" w:hAnsi="Garamond"/>
          <w:bCs/>
        </w:rPr>
        <w:t xml:space="preserve"> = 0.93 vs. </w:t>
      </w:r>
      <w:r w:rsidR="00287C06">
        <w:rPr>
          <w:rFonts w:ascii="Garamond" w:hAnsi="Garamond"/>
          <w:bCs/>
          <w:i/>
        </w:rPr>
        <w:t>M</w:t>
      </w:r>
      <w:r w:rsidR="00287C06">
        <w:rPr>
          <w:rFonts w:ascii="Garamond" w:hAnsi="Garamond"/>
          <w:bCs/>
        </w:rPr>
        <w:t xml:space="preserve"> = 0.51, </w:t>
      </w:r>
      <w:r w:rsidR="00287C06">
        <w:rPr>
          <w:rFonts w:ascii="Garamond" w:hAnsi="Garamond"/>
          <w:bCs/>
          <w:i/>
        </w:rPr>
        <w:t>SD</w:t>
      </w:r>
      <w:r w:rsidR="00287C06">
        <w:rPr>
          <w:rFonts w:ascii="Garamond" w:hAnsi="Garamond"/>
          <w:bCs/>
        </w:rPr>
        <w:t xml:space="preserve"> = 0.94; </w:t>
      </w:r>
      <w:r w:rsidR="00287C06">
        <w:rPr>
          <w:rFonts w:ascii="Garamond" w:hAnsi="Garamond"/>
          <w:bCs/>
          <w:i/>
        </w:rPr>
        <w:t>t</w:t>
      </w:r>
      <w:r w:rsidR="00287C06">
        <w:rPr>
          <w:rFonts w:ascii="Garamond" w:hAnsi="Garamond"/>
          <w:bCs/>
        </w:rPr>
        <w:t xml:space="preserve">(145) = 1.26, </w:t>
      </w:r>
      <w:r w:rsidR="00287C06">
        <w:rPr>
          <w:rFonts w:ascii="Garamond" w:hAnsi="Garamond"/>
          <w:bCs/>
          <w:i/>
        </w:rPr>
        <w:t>p</w:t>
      </w:r>
      <w:r w:rsidR="00287C06">
        <w:rPr>
          <w:rFonts w:ascii="Garamond" w:hAnsi="Garamond"/>
          <w:bCs/>
        </w:rPr>
        <w:t xml:space="preserve"> = .21, </w:t>
      </w:r>
      <w:r w:rsidR="00287C06">
        <w:rPr>
          <w:rFonts w:ascii="Garamond" w:hAnsi="Garamond"/>
          <w:bCs/>
          <w:i/>
        </w:rPr>
        <w:t>d</w:t>
      </w:r>
      <w:r w:rsidR="00287C06">
        <w:rPr>
          <w:rFonts w:ascii="Garamond" w:hAnsi="Garamond"/>
          <w:bCs/>
        </w:rPr>
        <w:t xml:space="preserve"> = 0.21 and </w:t>
      </w:r>
      <w:r w:rsidR="00287C06">
        <w:rPr>
          <w:rFonts w:ascii="Garamond" w:hAnsi="Garamond"/>
          <w:bCs/>
          <w:i/>
        </w:rPr>
        <w:t>t</w:t>
      </w:r>
      <w:r w:rsidR="00287C06">
        <w:rPr>
          <w:rFonts w:ascii="Garamond" w:hAnsi="Garamond"/>
          <w:bCs/>
        </w:rPr>
        <w:t xml:space="preserve">(142) = 1.22, </w:t>
      </w:r>
      <w:r w:rsidR="00287C06">
        <w:rPr>
          <w:rFonts w:ascii="Garamond" w:hAnsi="Garamond"/>
          <w:bCs/>
          <w:i/>
        </w:rPr>
        <w:t>p</w:t>
      </w:r>
      <w:r w:rsidR="00287C06">
        <w:rPr>
          <w:rFonts w:ascii="Garamond" w:hAnsi="Garamond"/>
          <w:bCs/>
        </w:rPr>
        <w:t xml:space="preserve"> = .22, </w:t>
      </w:r>
      <w:r w:rsidR="00287C06">
        <w:rPr>
          <w:rFonts w:ascii="Garamond" w:hAnsi="Garamond"/>
          <w:bCs/>
          <w:i/>
        </w:rPr>
        <w:t>d</w:t>
      </w:r>
      <w:r w:rsidR="00287C06">
        <w:rPr>
          <w:rFonts w:ascii="Garamond" w:hAnsi="Garamond"/>
          <w:bCs/>
        </w:rPr>
        <w:t xml:space="preserve"> = 0.21].</w:t>
      </w:r>
    </w:p>
    <w:p w14:paraId="3D90A1E3" w14:textId="2C02CA0A" w:rsidR="00287C06" w:rsidRPr="005244BA" w:rsidRDefault="005244BA" w:rsidP="005244BA">
      <w:pPr>
        <w:spacing w:line="276" w:lineRule="auto"/>
        <w:ind w:firstLine="360"/>
        <w:jc w:val="both"/>
        <w:rPr>
          <w:rFonts w:ascii="Garamond" w:hAnsi="Garamond"/>
          <w:bCs/>
        </w:rPr>
      </w:pPr>
      <w:r>
        <w:rPr>
          <w:rFonts w:ascii="Garamond" w:hAnsi="Garamond"/>
          <w:bCs/>
        </w:rPr>
        <w:t xml:space="preserve">Overall, these results—while less statistically robust than the within-subjects Study 2—help to buttress the results of that study in two ways. The money-frame versus time-frame across Studies 1 and S2A produced reduced asymmetries comparable in magnitude (if not larger) than those in Study 2, although some of these reductions did not reach statistical significance. Second, the fact that Study S2B and Study 1 produced very similar results indicates that a money-frame and money-plus-time-frame have similar psychological impact. That is a further piece of evidence for mercantilism, which predicts that cueing money (even if time is also cued) would result in perceived differences in buyer versus seller welfare. </w:t>
      </w:r>
    </w:p>
    <w:p w14:paraId="448B9643" w14:textId="77777777" w:rsidR="00287C06" w:rsidRDefault="00287C06" w:rsidP="009515BF">
      <w:pPr>
        <w:spacing w:line="276" w:lineRule="auto"/>
        <w:ind w:firstLine="360"/>
        <w:jc w:val="both"/>
        <w:rPr>
          <w:rFonts w:ascii="Garamond" w:hAnsi="Garamond"/>
          <w:bCs/>
          <w:highlight w:val="yellow"/>
        </w:rPr>
      </w:pPr>
    </w:p>
    <w:p w14:paraId="5AC697BA" w14:textId="104C9740" w:rsidR="00287C06" w:rsidRPr="00C036E1" w:rsidRDefault="00287C06" w:rsidP="00287C06">
      <w:pPr>
        <w:spacing w:line="276" w:lineRule="auto"/>
        <w:rPr>
          <w:rFonts w:ascii="Garamond" w:hAnsi="Garamond"/>
          <w:b/>
          <w:bCs/>
        </w:rPr>
      </w:pPr>
      <w:r w:rsidRPr="005244BA">
        <w:rPr>
          <w:rFonts w:ascii="Garamond" w:hAnsi="Garamond"/>
          <w:b/>
          <w:bCs/>
        </w:rPr>
        <w:t>Study S3: Between</w:t>
      </w:r>
      <w:r w:rsidRPr="00C036E1">
        <w:rPr>
          <w:rFonts w:ascii="Garamond" w:hAnsi="Garamond"/>
          <w:b/>
          <w:bCs/>
        </w:rPr>
        <w:t xml:space="preserve">-Subjects Replication of Study </w:t>
      </w:r>
      <w:r>
        <w:rPr>
          <w:rFonts w:ascii="Garamond" w:hAnsi="Garamond"/>
          <w:b/>
          <w:bCs/>
        </w:rPr>
        <w:t>3</w:t>
      </w:r>
    </w:p>
    <w:p w14:paraId="709F6711" w14:textId="77777777" w:rsidR="00287C06" w:rsidRDefault="00287C06" w:rsidP="00287C06">
      <w:pPr>
        <w:spacing w:line="276" w:lineRule="auto"/>
        <w:jc w:val="both"/>
        <w:rPr>
          <w:rFonts w:ascii="Garamond" w:hAnsi="Garamond"/>
          <w:bCs/>
          <w:highlight w:val="yellow"/>
        </w:rPr>
      </w:pPr>
    </w:p>
    <w:p w14:paraId="50276E67" w14:textId="6C7B3A32" w:rsidR="00562779" w:rsidRDefault="005B19EA" w:rsidP="0044419C">
      <w:pPr>
        <w:spacing w:line="276" w:lineRule="auto"/>
        <w:ind w:firstLine="360"/>
        <w:jc w:val="both"/>
        <w:rPr>
          <w:rFonts w:ascii="Garamond" w:hAnsi="Garamond"/>
          <w:bCs/>
        </w:rPr>
      </w:pPr>
      <w:r w:rsidRPr="005B19EA">
        <w:rPr>
          <w:rFonts w:ascii="Garamond" w:hAnsi="Garamond"/>
          <w:bCs/>
        </w:rPr>
        <w:t xml:space="preserve">We </w:t>
      </w:r>
      <w:r>
        <w:rPr>
          <w:rFonts w:ascii="Garamond" w:hAnsi="Garamond"/>
          <w:bCs/>
        </w:rPr>
        <w:t xml:space="preserve">argued that although mercantilism explains the asymmetries between buyers and sellers, it does not necessarily predict that they would need to be as sharp as they are across these studies. Plausibly, other factors may also be at play, and we argued that </w:t>
      </w:r>
      <w:r w:rsidR="00E9553E">
        <w:rPr>
          <w:rFonts w:ascii="Garamond" w:hAnsi="Garamond"/>
          <w:bCs/>
        </w:rPr>
        <w:t>theory-of-mind or naïve realism is</w:t>
      </w:r>
      <w:r w:rsidR="005D050A">
        <w:rPr>
          <w:rFonts w:ascii="Garamond" w:hAnsi="Garamond"/>
          <w:bCs/>
        </w:rPr>
        <w:t xml:space="preserve"> likely to be one such factor (Ross &amp; Ward, 1997; Ross et al., 1977). </w:t>
      </w:r>
      <w:r w:rsidR="003D500C">
        <w:rPr>
          <w:rFonts w:ascii="Garamond" w:hAnsi="Garamond"/>
          <w:bCs/>
        </w:rPr>
        <w:t>Supporting this, Study 3 found that cueing participants to consider the buyers’ reasons—even empty reasons such as because the buyer “wanted” the product</w:t>
      </w:r>
      <w:r w:rsidR="00562779">
        <w:rPr>
          <w:rFonts w:ascii="Garamond" w:hAnsi="Garamond"/>
          <w:bCs/>
        </w:rPr>
        <w:t>—reduced win–win denial.</w:t>
      </w:r>
    </w:p>
    <w:p w14:paraId="2A4E539A" w14:textId="53C65D91" w:rsidR="0044419C" w:rsidRPr="005B19EA" w:rsidRDefault="00562779" w:rsidP="00562779">
      <w:pPr>
        <w:spacing w:line="276" w:lineRule="auto"/>
        <w:ind w:firstLine="360"/>
        <w:jc w:val="both"/>
        <w:rPr>
          <w:rFonts w:ascii="Garamond" w:hAnsi="Garamond"/>
          <w:bCs/>
        </w:rPr>
      </w:pPr>
      <w:r>
        <w:rPr>
          <w:rFonts w:ascii="Garamond" w:hAnsi="Garamond"/>
          <w:bCs/>
        </w:rPr>
        <w:t xml:space="preserve">Study S3 had two goals. First, analogously to Study S2, it aimed to replicate Study 3 in a between-subjects design. Whereas Study 3 exposed participants to both the </w:t>
      </w:r>
      <w:r>
        <w:rPr>
          <w:rFonts w:ascii="Garamond" w:hAnsi="Garamond"/>
          <w:bCs/>
          <w:i/>
        </w:rPr>
        <w:t>empty-reason</w:t>
      </w:r>
      <w:r>
        <w:rPr>
          <w:rFonts w:ascii="Garamond" w:hAnsi="Garamond"/>
          <w:bCs/>
        </w:rPr>
        <w:t xml:space="preserve"> and </w:t>
      </w:r>
      <w:r>
        <w:rPr>
          <w:rFonts w:ascii="Garamond" w:hAnsi="Garamond"/>
          <w:bCs/>
          <w:i/>
        </w:rPr>
        <w:t>no-reason</w:t>
      </w:r>
      <w:r>
        <w:rPr>
          <w:rFonts w:ascii="Garamond" w:hAnsi="Garamond"/>
          <w:bCs/>
        </w:rPr>
        <w:t xml:space="preserve"> condition, Study S3A framed every item in the empty-reason condition. Thus, comparing Study S3A to Study 1 is equivalent to testing the effect of the reason versus no-reason conditions (tested within-subjects in Study 3) in a between-subjects design. Second, Study S3 tested whether different kinds of reasons have differential impact. Thus, whereas Study S3A used the same empty reasons from Study 3, Study S3B gave “content” reasons that appealed directly to the buyer’s preferences.</w:t>
      </w:r>
    </w:p>
    <w:p w14:paraId="0D44DAB7" w14:textId="77777777" w:rsidR="009515BF" w:rsidRPr="008137EF" w:rsidRDefault="009515BF" w:rsidP="009515BF">
      <w:pPr>
        <w:spacing w:line="276" w:lineRule="auto"/>
        <w:ind w:firstLine="360"/>
        <w:jc w:val="both"/>
        <w:rPr>
          <w:rFonts w:ascii="Garamond" w:hAnsi="Garamond"/>
          <w:bCs/>
        </w:rPr>
      </w:pPr>
    </w:p>
    <w:p w14:paraId="5238DA4B" w14:textId="77777777" w:rsidR="00E97EDF" w:rsidRDefault="009515BF" w:rsidP="00E97EDF">
      <w:pPr>
        <w:spacing w:line="276" w:lineRule="auto"/>
        <w:ind w:firstLine="360"/>
        <w:jc w:val="both"/>
        <w:rPr>
          <w:rFonts w:ascii="Garamond" w:hAnsi="Garamond"/>
        </w:rPr>
      </w:pPr>
      <w:r w:rsidRPr="008137EF">
        <w:rPr>
          <w:rFonts w:ascii="Garamond" w:hAnsi="Garamond"/>
          <w:b/>
        </w:rPr>
        <w:t>Methods.</w:t>
      </w:r>
      <w:r w:rsidRPr="008137EF">
        <w:rPr>
          <w:rFonts w:ascii="Garamond" w:hAnsi="Garamond"/>
        </w:rPr>
        <w:t xml:space="preserve"> We recruited </w:t>
      </w:r>
      <w:r>
        <w:rPr>
          <w:rFonts w:ascii="Garamond" w:hAnsi="Garamond"/>
        </w:rPr>
        <w:t>199</w:t>
      </w:r>
      <w:r w:rsidRPr="008137EF">
        <w:rPr>
          <w:rFonts w:ascii="Garamond" w:hAnsi="Garamond"/>
        </w:rPr>
        <w:t xml:space="preserve"> participants (</w:t>
      </w:r>
      <w:r w:rsidRPr="008137EF">
        <w:rPr>
          <w:rFonts w:ascii="Garamond" w:hAnsi="Garamond"/>
          <w:i/>
        </w:rPr>
        <w:t>M</w:t>
      </w:r>
      <w:r w:rsidRPr="008137EF">
        <w:rPr>
          <w:rFonts w:ascii="Garamond" w:hAnsi="Garamond"/>
          <w:vertAlign w:val="subscript"/>
        </w:rPr>
        <w:t>age</w:t>
      </w:r>
      <w:r w:rsidRPr="008137EF">
        <w:rPr>
          <w:rFonts w:ascii="Garamond" w:hAnsi="Garamond"/>
        </w:rPr>
        <w:t xml:space="preserve"> = </w:t>
      </w:r>
      <w:r>
        <w:rPr>
          <w:rFonts w:ascii="Garamond" w:hAnsi="Garamond"/>
        </w:rPr>
        <w:t xml:space="preserve">38.8; 67% female; 55% college educated) from </w:t>
      </w:r>
      <w:r w:rsidRPr="008137EF">
        <w:rPr>
          <w:rFonts w:ascii="Garamond" w:hAnsi="Garamond"/>
        </w:rPr>
        <w:t xml:space="preserve">Amazon Mechanical Turk </w:t>
      </w:r>
      <w:r>
        <w:rPr>
          <w:rFonts w:ascii="Garamond" w:hAnsi="Garamond"/>
        </w:rPr>
        <w:t>(</w:t>
      </w:r>
      <w:r>
        <w:rPr>
          <w:rFonts w:ascii="Garamond" w:hAnsi="Garamond"/>
          <w:i/>
        </w:rPr>
        <w:t>N</w:t>
      </w:r>
      <w:r>
        <w:rPr>
          <w:rFonts w:ascii="Garamond" w:hAnsi="Garamond"/>
        </w:rPr>
        <w:t xml:space="preserve"> = </w:t>
      </w:r>
      <w:r w:rsidR="001D7106">
        <w:rPr>
          <w:rFonts w:ascii="Garamond" w:hAnsi="Garamond"/>
        </w:rPr>
        <w:t>99</w:t>
      </w:r>
      <w:r>
        <w:rPr>
          <w:rFonts w:ascii="Garamond" w:hAnsi="Garamond"/>
        </w:rPr>
        <w:t xml:space="preserve"> for </w:t>
      </w:r>
      <w:r w:rsidR="00DA795C">
        <w:rPr>
          <w:rFonts w:ascii="Garamond" w:hAnsi="Garamond"/>
        </w:rPr>
        <w:t>Study</w:t>
      </w:r>
      <w:r>
        <w:rPr>
          <w:rFonts w:ascii="Garamond" w:hAnsi="Garamond"/>
        </w:rPr>
        <w:t xml:space="preserve"> </w:t>
      </w:r>
      <w:r w:rsidR="00EA11CF">
        <w:rPr>
          <w:rFonts w:ascii="Garamond" w:hAnsi="Garamond"/>
        </w:rPr>
        <w:t>S</w:t>
      </w:r>
      <w:r>
        <w:rPr>
          <w:rFonts w:ascii="Garamond" w:hAnsi="Garamond"/>
        </w:rPr>
        <w:t xml:space="preserve">3A and </w:t>
      </w:r>
      <w:r>
        <w:rPr>
          <w:rFonts w:ascii="Garamond" w:hAnsi="Garamond"/>
          <w:i/>
        </w:rPr>
        <w:t>N</w:t>
      </w:r>
      <w:r>
        <w:rPr>
          <w:rFonts w:ascii="Garamond" w:hAnsi="Garamond"/>
        </w:rPr>
        <w:t xml:space="preserve"> = </w:t>
      </w:r>
      <w:r w:rsidR="001D7106">
        <w:rPr>
          <w:rFonts w:ascii="Garamond" w:hAnsi="Garamond"/>
        </w:rPr>
        <w:t>100</w:t>
      </w:r>
      <w:r>
        <w:rPr>
          <w:rFonts w:ascii="Garamond" w:hAnsi="Garamond"/>
        </w:rPr>
        <w:t xml:space="preserve"> for </w:t>
      </w:r>
      <w:r w:rsidR="00DA795C">
        <w:rPr>
          <w:rFonts w:ascii="Garamond" w:hAnsi="Garamond"/>
        </w:rPr>
        <w:t>Study</w:t>
      </w:r>
      <w:r>
        <w:rPr>
          <w:rFonts w:ascii="Garamond" w:hAnsi="Garamond"/>
        </w:rPr>
        <w:t xml:space="preserve"> </w:t>
      </w:r>
      <w:r w:rsidR="00EA11CF">
        <w:rPr>
          <w:rFonts w:ascii="Garamond" w:hAnsi="Garamond"/>
        </w:rPr>
        <w:t>S</w:t>
      </w:r>
      <w:r>
        <w:rPr>
          <w:rFonts w:ascii="Garamond" w:hAnsi="Garamond"/>
        </w:rPr>
        <w:t>3B)</w:t>
      </w:r>
      <w:r w:rsidR="007005BE">
        <w:rPr>
          <w:rFonts w:ascii="Garamond" w:hAnsi="Garamond"/>
        </w:rPr>
        <w:t>; 26 were excluded from analysis based on the criterion used in the other studies.</w:t>
      </w:r>
    </w:p>
    <w:p w14:paraId="2930348F" w14:textId="6A1B4E67" w:rsidR="009515BF" w:rsidRPr="00562779" w:rsidRDefault="003E176C" w:rsidP="00E97EDF">
      <w:pPr>
        <w:spacing w:line="276" w:lineRule="auto"/>
        <w:ind w:firstLine="360"/>
        <w:jc w:val="both"/>
        <w:rPr>
          <w:rFonts w:ascii="Garamond" w:hAnsi="Garamond"/>
        </w:rPr>
      </w:pPr>
      <w:r w:rsidRPr="00996872">
        <w:rPr>
          <w:rFonts w:ascii="Garamond" w:hAnsi="Garamond"/>
        </w:rPr>
        <w:t>Study</w:t>
      </w:r>
      <w:r>
        <w:rPr>
          <w:rFonts w:ascii="Garamond" w:hAnsi="Garamond"/>
        </w:rPr>
        <w:t xml:space="preserve"> S3A used the same design as Study 1, except every item appeared in the </w:t>
      </w:r>
      <w:r w:rsidRPr="003E176C">
        <w:rPr>
          <w:rFonts w:ascii="Garamond" w:hAnsi="Garamond"/>
          <w:i/>
        </w:rPr>
        <w:t>empty-</w:t>
      </w:r>
      <w:r>
        <w:rPr>
          <w:rFonts w:ascii="Garamond" w:hAnsi="Garamond"/>
          <w:i/>
        </w:rPr>
        <w:t xml:space="preserve">reason </w:t>
      </w:r>
      <w:r>
        <w:rPr>
          <w:rFonts w:ascii="Garamond" w:hAnsi="Garamond"/>
        </w:rPr>
        <w:t xml:space="preserve">phrasing used in Study 3. That is, each transaction included an empty explanation of the buyer’s </w:t>
      </w:r>
      <w:r w:rsidR="00EA11CF">
        <w:rPr>
          <w:rFonts w:ascii="Garamond" w:hAnsi="Garamond"/>
        </w:rPr>
        <w:t xml:space="preserve">or traders’ </w:t>
      </w:r>
      <w:r>
        <w:rPr>
          <w:rFonts w:ascii="Garamond" w:hAnsi="Garamond"/>
        </w:rPr>
        <w:t>choice, such as “</w:t>
      </w:r>
      <w:r w:rsidRPr="003E176C">
        <w:rPr>
          <w:rFonts w:ascii="Garamond" w:hAnsi="Garamond"/>
        </w:rPr>
        <w:t>Sally made the purchase because she wanted the shirt</w:t>
      </w:r>
      <w:r>
        <w:rPr>
          <w:rFonts w:ascii="Garamond" w:hAnsi="Garamond"/>
        </w:rPr>
        <w:t>.</w:t>
      </w:r>
      <w:r w:rsidRPr="003E176C">
        <w:rPr>
          <w:rFonts w:ascii="Garamond" w:hAnsi="Garamond"/>
        </w:rPr>
        <w:t>”</w:t>
      </w:r>
      <w:r>
        <w:rPr>
          <w:rFonts w:ascii="Garamond" w:hAnsi="Garamond"/>
        </w:rPr>
        <w:t xml:space="preserve"> Study S3B was identical, except that </w:t>
      </w:r>
      <w:r w:rsidR="00EA11CF">
        <w:rPr>
          <w:rFonts w:ascii="Garamond" w:hAnsi="Garamond"/>
        </w:rPr>
        <w:t xml:space="preserve">a </w:t>
      </w:r>
      <w:r w:rsidR="00EA11CF">
        <w:rPr>
          <w:rFonts w:ascii="Garamond" w:hAnsi="Garamond"/>
          <w:i/>
        </w:rPr>
        <w:t>content-reason</w:t>
      </w:r>
      <w:r>
        <w:rPr>
          <w:rFonts w:ascii="Garamond" w:hAnsi="Garamond"/>
          <w:i/>
        </w:rPr>
        <w:t xml:space="preserve"> </w:t>
      </w:r>
      <w:r w:rsidR="00EA11CF">
        <w:rPr>
          <w:rFonts w:ascii="Garamond" w:hAnsi="Garamond"/>
        </w:rPr>
        <w:t>was</w:t>
      </w:r>
      <w:r>
        <w:rPr>
          <w:rFonts w:ascii="Garamond" w:hAnsi="Garamond"/>
        </w:rPr>
        <w:t xml:space="preserve"> given instead, which appealed to the </w:t>
      </w:r>
      <w:r w:rsidR="00EA11CF">
        <w:rPr>
          <w:rFonts w:ascii="Garamond" w:hAnsi="Garamond"/>
        </w:rPr>
        <w:t>buyer’s or traders’ preferences, su</w:t>
      </w:r>
      <w:r w:rsidR="00EA11CF" w:rsidRPr="00EA11CF">
        <w:rPr>
          <w:rFonts w:ascii="Garamond" w:hAnsi="Garamond"/>
        </w:rPr>
        <w:t xml:space="preserve">ch as </w:t>
      </w:r>
      <w:r w:rsidR="009515BF" w:rsidRPr="00EA11CF">
        <w:rPr>
          <w:rFonts w:ascii="Garamond" w:hAnsi="Garamond"/>
        </w:rPr>
        <w:t xml:space="preserve">“Sally purchased the shirt because Taylor Swift once wore this kind of shirt at her concert, and Sally loves Taylor Swift very much” </w:t>
      </w:r>
      <w:r w:rsidR="00EA11CF" w:rsidRPr="00EA11CF">
        <w:rPr>
          <w:rFonts w:ascii="Garamond" w:hAnsi="Garamond"/>
        </w:rPr>
        <w:t>or</w:t>
      </w:r>
      <w:r w:rsidR="00EA11CF">
        <w:rPr>
          <w:rFonts w:ascii="Garamond" w:hAnsi="Garamond"/>
        </w:rPr>
        <w:t xml:space="preserve"> </w:t>
      </w:r>
      <w:r w:rsidR="009515BF" w:rsidRPr="00EA11CF">
        <w:rPr>
          <w:rFonts w:ascii="Garamond" w:hAnsi="Garamond"/>
        </w:rPr>
        <w:t xml:space="preserve">“Eric got the haircut because he finds the environment in Paul’s barber shop to be pleasant and enjoyable.” </w:t>
      </w:r>
      <w:r w:rsidR="00EA11CF" w:rsidRPr="00EA11CF">
        <w:rPr>
          <w:rFonts w:ascii="Garamond" w:hAnsi="Garamond"/>
        </w:rPr>
        <w:t xml:space="preserve">Similarly, for one of the barters, </w:t>
      </w:r>
      <w:r w:rsidR="009515BF" w:rsidRPr="00EA11CF">
        <w:rPr>
          <w:rFonts w:ascii="Garamond" w:hAnsi="Garamond"/>
        </w:rPr>
        <w:t>“Mark traded because he needed vinegar for a recipe, and Fred traded because he happened to run out of soy sauce.”</w:t>
      </w:r>
    </w:p>
    <w:p w14:paraId="3754D7A6" w14:textId="77777777" w:rsidR="002C1450" w:rsidRPr="00562779" w:rsidRDefault="002C1450" w:rsidP="009515BF">
      <w:pPr>
        <w:spacing w:line="276" w:lineRule="auto"/>
        <w:ind w:firstLine="360"/>
        <w:jc w:val="both"/>
        <w:rPr>
          <w:rFonts w:ascii="Garamond" w:hAnsi="Garamond"/>
        </w:rPr>
      </w:pPr>
    </w:p>
    <w:p w14:paraId="64B797FD" w14:textId="79F2FA90" w:rsidR="00562779" w:rsidRDefault="009515BF" w:rsidP="009515BF">
      <w:pPr>
        <w:spacing w:line="276" w:lineRule="auto"/>
        <w:ind w:firstLine="360"/>
        <w:jc w:val="both"/>
        <w:rPr>
          <w:rFonts w:ascii="Garamond" w:hAnsi="Garamond"/>
          <w:bCs/>
        </w:rPr>
      </w:pPr>
      <w:r w:rsidRPr="00562779">
        <w:rPr>
          <w:rFonts w:ascii="Garamond" w:hAnsi="Garamond"/>
          <w:b/>
          <w:bCs/>
        </w:rPr>
        <w:t>Results</w:t>
      </w:r>
      <w:r w:rsidR="00562779" w:rsidRPr="00562779">
        <w:rPr>
          <w:rFonts w:ascii="Garamond" w:hAnsi="Garamond"/>
          <w:b/>
          <w:bCs/>
        </w:rPr>
        <w:t xml:space="preserve"> and Discussion</w:t>
      </w:r>
      <w:r w:rsidRPr="00562779">
        <w:rPr>
          <w:rFonts w:ascii="Garamond" w:hAnsi="Garamond"/>
          <w:b/>
          <w:bCs/>
        </w:rPr>
        <w:t>.</w:t>
      </w:r>
      <w:r w:rsidR="00562779">
        <w:rPr>
          <w:rFonts w:ascii="Garamond" w:hAnsi="Garamond"/>
          <w:bCs/>
        </w:rPr>
        <w:t xml:space="preserve"> As shown in Figure S3, </w:t>
      </w:r>
      <w:r w:rsidR="00E97EDF">
        <w:rPr>
          <w:rFonts w:ascii="Garamond" w:hAnsi="Garamond"/>
          <w:bCs/>
        </w:rPr>
        <w:t>we see yet again the asymmetries among buyers, sellers, and traders predicted by mercantilism.</w:t>
      </w:r>
      <w:r w:rsidR="00383C46">
        <w:rPr>
          <w:rFonts w:ascii="Garamond" w:hAnsi="Garamond"/>
          <w:bCs/>
        </w:rPr>
        <w:t xml:space="preserve"> But these are less statistically robust than in other </w:t>
      </w:r>
      <w:r w:rsidR="00383C46">
        <w:rPr>
          <w:rFonts w:ascii="Garamond" w:hAnsi="Garamond"/>
          <w:bCs/>
        </w:rPr>
        <w:lastRenderedPageBreak/>
        <w:t>experiments and do not always reach significance—this is the only study in the main or supplementary text that does not produce highly robust asymmetries between traders and monetary transactors.</w:t>
      </w:r>
      <w:r w:rsidR="00E97EDF">
        <w:rPr>
          <w:rFonts w:ascii="Garamond" w:hAnsi="Garamond"/>
          <w:bCs/>
        </w:rPr>
        <w:t xml:space="preserve"> </w:t>
      </w:r>
      <w:r w:rsidR="00383C46">
        <w:rPr>
          <w:rFonts w:ascii="Garamond" w:hAnsi="Garamond"/>
          <w:bCs/>
        </w:rPr>
        <w:t xml:space="preserve">This is because </w:t>
      </w:r>
      <w:r w:rsidR="00E97EDF">
        <w:rPr>
          <w:rFonts w:ascii="Garamond" w:hAnsi="Garamond"/>
          <w:bCs/>
        </w:rPr>
        <w:t xml:space="preserve">win–win denial was overall much lower in the empty-reason and content-reason versions used in Study S3, compared to the no-reason version used in Study 1. </w:t>
      </w:r>
      <w:r w:rsidR="00383C46">
        <w:rPr>
          <w:rFonts w:ascii="Garamond" w:hAnsi="Garamond"/>
          <w:bCs/>
        </w:rPr>
        <w:t>Indeed, these differences among conditions</w:t>
      </w:r>
      <w:r w:rsidR="00E97EDF">
        <w:rPr>
          <w:rFonts w:ascii="Garamond" w:hAnsi="Garamond"/>
          <w:bCs/>
        </w:rPr>
        <w:t xml:space="preserve"> were much larger in magnitude than in the within-subjects Study 3. These results point to </w:t>
      </w:r>
      <w:r w:rsidR="00E9553E">
        <w:rPr>
          <w:rFonts w:ascii="Garamond" w:hAnsi="Garamond"/>
          <w:bCs/>
        </w:rPr>
        <w:t>theory-of-mind errors</w:t>
      </w:r>
      <w:r w:rsidR="00E97EDF">
        <w:rPr>
          <w:rFonts w:ascii="Garamond" w:hAnsi="Garamond"/>
          <w:bCs/>
        </w:rPr>
        <w:t xml:space="preserve"> as a partial driver of win–win denial and to perspective-taking as a useful corrective.</w:t>
      </w:r>
    </w:p>
    <w:p w14:paraId="3A58EB9C" w14:textId="69487625" w:rsidR="008F1493" w:rsidRPr="002E703C" w:rsidRDefault="008F1493" w:rsidP="008F1493">
      <w:pPr>
        <w:spacing w:line="276" w:lineRule="auto"/>
        <w:ind w:firstLine="360"/>
        <w:jc w:val="both"/>
        <w:rPr>
          <w:rFonts w:ascii="Garamond" w:hAnsi="Garamond"/>
          <w:bCs/>
          <w:highlight w:val="yellow"/>
        </w:rPr>
      </w:pPr>
      <w:r>
        <w:rPr>
          <w:noProof/>
        </w:rPr>
        <w:drawing>
          <wp:anchor distT="0" distB="0" distL="114300" distR="114300" simplePos="0" relativeHeight="251682816" behindDoc="0" locked="0" layoutInCell="1" allowOverlap="1" wp14:anchorId="1FA2C5E1" wp14:editId="5F72E31C">
            <wp:simplePos x="0" y="0"/>
            <wp:positionH relativeFrom="column">
              <wp:posOffset>-408061</wp:posOffset>
            </wp:positionH>
            <wp:positionV relativeFrom="paragraph">
              <wp:posOffset>177947</wp:posOffset>
            </wp:positionV>
            <wp:extent cx="6807835" cy="310007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053885B" w14:textId="77777777" w:rsidR="008F1493" w:rsidRPr="00287C06" w:rsidRDefault="008F1493" w:rsidP="008F1493">
      <w:pPr>
        <w:spacing w:line="276" w:lineRule="auto"/>
        <w:ind w:left="720" w:right="720"/>
        <w:jc w:val="both"/>
        <w:rPr>
          <w:rFonts w:ascii="Garamond" w:hAnsi="Garamond"/>
          <w:bCs/>
        </w:rPr>
      </w:pPr>
      <w:r w:rsidRPr="00221273">
        <w:rPr>
          <w:rFonts w:ascii="Garamond" w:hAnsi="Garamond"/>
          <w:bCs/>
          <w:i/>
          <w:sz w:val="20"/>
          <w:szCs w:val="20"/>
        </w:rPr>
        <w:t>Figure S</w:t>
      </w:r>
      <w:r>
        <w:rPr>
          <w:rFonts w:ascii="Garamond" w:hAnsi="Garamond"/>
          <w:bCs/>
          <w:i/>
          <w:sz w:val="20"/>
          <w:szCs w:val="20"/>
        </w:rPr>
        <w:t>3</w:t>
      </w:r>
      <w:r w:rsidRPr="00221273">
        <w:rPr>
          <w:rFonts w:ascii="Garamond" w:hAnsi="Garamond"/>
          <w:bCs/>
          <w:sz w:val="20"/>
          <w:szCs w:val="20"/>
        </w:rPr>
        <w:t>. Proportion</w:t>
      </w:r>
      <w:r w:rsidRPr="003E176C">
        <w:rPr>
          <w:rFonts w:ascii="Garamond" w:hAnsi="Garamond"/>
          <w:bCs/>
          <w:sz w:val="20"/>
          <w:szCs w:val="20"/>
        </w:rPr>
        <w:t xml:space="preserve"> of transactions perceived as having negative, zero, or positive impact on buyers, sellers, and traders in </w:t>
      </w:r>
      <w:r>
        <w:rPr>
          <w:rFonts w:ascii="Garamond" w:hAnsi="Garamond"/>
          <w:bCs/>
          <w:sz w:val="20"/>
          <w:szCs w:val="20"/>
        </w:rPr>
        <w:t xml:space="preserve">the </w:t>
      </w:r>
      <w:r>
        <w:rPr>
          <w:rFonts w:ascii="Garamond" w:hAnsi="Garamond"/>
          <w:bCs/>
          <w:i/>
          <w:sz w:val="20"/>
          <w:szCs w:val="20"/>
        </w:rPr>
        <w:t xml:space="preserve">no-reason </w:t>
      </w:r>
      <w:r>
        <w:rPr>
          <w:rFonts w:ascii="Garamond" w:hAnsi="Garamond"/>
          <w:bCs/>
          <w:sz w:val="20"/>
          <w:szCs w:val="20"/>
        </w:rPr>
        <w:t xml:space="preserve">condition (Study 1), </w:t>
      </w:r>
      <w:r>
        <w:rPr>
          <w:rFonts w:ascii="Garamond" w:hAnsi="Garamond"/>
          <w:bCs/>
          <w:i/>
          <w:sz w:val="20"/>
          <w:szCs w:val="20"/>
        </w:rPr>
        <w:t>empty-reason</w:t>
      </w:r>
      <w:r>
        <w:rPr>
          <w:rFonts w:ascii="Garamond" w:hAnsi="Garamond"/>
          <w:bCs/>
          <w:sz w:val="20"/>
          <w:szCs w:val="20"/>
        </w:rPr>
        <w:t xml:space="preserve"> condition (Study S3A), and </w:t>
      </w:r>
      <w:r>
        <w:rPr>
          <w:rFonts w:ascii="Garamond" w:hAnsi="Garamond"/>
          <w:bCs/>
          <w:i/>
          <w:sz w:val="20"/>
          <w:szCs w:val="20"/>
        </w:rPr>
        <w:t xml:space="preserve">content-reason </w:t>
      </w:r>
      <w:r>
        <w:rPr>
          <w:rFonts w:ascii="Garamond" w:hAnsi="Garamond"/>
          <w:bCs/>
          <w:sz w:val="20"/>
          <w:szCs w:val="20"/>
        </w:rPr>
        <w:t>condition (Study S3B).</w:t>
      </w:r>
    </w:p>
    <w:p w14:paraId="20A02284" w14:textId="77777777" w:rsidR="008F1493" w:rsidRDefault="008F1493" w:rsidP="009515BF">
      <w:pPr>
        <w:spacing w:line="276" w:lineRule="auto"/>
        <w:ind w:firstLine="360"/>
        <w:jc w:val="both"/>
        <w:rPr>
          <w:rFonts w:ascii="Garamond" w:hAnsi="Garamond"/>
          <w:bCs/>
        </w:rPr>
      </w:pPr>
    </w:p>
    <w:p w14:paraId="7D3DCA2B" w14:textId="0BD0EAE3" w:rsidR="00E97EDF" w:rsidRPr="00EF2509" w:rsidRDefault="007768CE" w:rsidP="009515BF">
      <w:pPr>
        <w:spacing w:line="276" w:lineRule="auto"/>
        <w:ind w:firstLine="360"/>
        <w:jc w:val="both"/>
        <w:rPr>
          <w:rFonts w:ascii="Garamond" w:hAnsi="Garamond"/>
          <w:bCs/>
        </w:rPr>
      </w:pPr>
      <w:r>
        <w:rPr>
          <w:rFonts w:ascii="Garamond" w:hAnsi="Garamond"/>
          <w:bCs/>
        </w:rPr>
        <w:t xml:space="preserve">First, we examine again the asymmetries among buyers, sellers, and traders. </w:t>
      </w:r>
      <w:r w:rsidR="00383C46">
        <w:rPr>
          <w:rFonts w:ascii="Garamond" w:hAnsi="Garamond"/>
          <w:bCs/>
        </w:rPr>
        <w:t>Buyers remained likelier to be seen as made worse-off compared to sellers in both Study S3A [</w:t>
      </w:r>
      <w:r w:rsidR="00383C46">
        <w:rPr>
          <w:rFonts w:ascii="Garamond" w:hAnsi="Garamond"/>
          <w:bCs/>
          <w:i/>
        </w:rPr>
        <w:t>t</w:t>
      </w:r>
      <w:r w:rsidR="00383C46">
        <w:rPr>
          <w:rFonts w:ascii="Garamond" w:hAnsi="Garamond"/>
          <w:bCs/>
        </w:rPr>
        <w:t xml:space="preserve">(86) = 4.08, </w:t>
      </w:r>
      <w:r w:rsidR="00383C46">
        <w:rPr>
          <w:rFonts w:ascii="Garamond" w:hAnsi="Garamond"/>
          <w:bCs/>
          <w:i/>
        </w:rPr>
        <w:t>p</w:t>
      </w:r>
      <w:r w:rsidR="00383C46">
        <w:rPr>
          <w:rFonts w:ascii="Garamond" w:hAnsi="Garamond"/>
          <w:bCs/>
        </w:rPr>
        <w:t xml:space="preserve"> &lt; .001, </w:t>
      </w:r>
      <w:r w:rsidR="00383C46">
        <w:rPr>
          <w:rFonts w:ascii="Garamond" w:hAnsi="Garamond"/>
          <w:bCs/>
          <w:i/>
        </w:rPr>
        <w:t>d</w:t>
      </w:r>
      <w:r w:rsidR="00383C46">
        <w:rPr>
          <w:rFonts w:ascii="Garamond" w:hAnsi="Garamond"/>
          <w:bCs/>
        </w:rPr>
        <w:t xml:space="preserve"> = 0.56] and Study S3B [</w:t>
      </w:r>
      <w:r w:rsidR="00383C46">
        <w:rPr>
          <w:rFonts w:ascii="Garamond" w:hAnsi="Garamond"/>
          <w:bCs/>
          <w:i/>
        </w:rPr>
        <w:t>t</w:t>
      </w:r>
      <w:r w:rsidR="00383C46">
        <w:rPr>
          <w:rFonts w:ascii="Garamond" w:hAnsi="Garamond"/>
          <w:bCs/>
        </w:rPr>
        <w:t xml:space="preserve">(85) = 4.95, </w:t>
      </w:r>
      <w:r w:rsidR="00383C46">
        <w:rPr>
          <w:rFonts w:ascii="Garamond" w:hAnsi="Garamond"/>
          <w:bCs/>
          <w:i/>
        </w:rPr>
        <w:t>p</w:t>
      </w:r>
      <w:r w:rsidR="00383C46">
        <w:rPr>
          <w:rFonts w:ascii="Garamond" w:hAnsi="Garamond"/>
          <w:bCs/>
        </w:rPr>
        <w:t xml:space="preserve"> &lt; .001, </w:t>
      </w:r>
      <w:r w:rsidR="00383C46">
        <w:rPr>
          <w:rFonts w:ascii="Garamond" w:hAnsi="Garamond"/>
          <w:bCs/>
          <w:i/>
        </w:rPr>
        <w:t>d</w:t>
      </w:r>
      <w:r w:rsidR="00383C46">
        <w:rPr>
          <w:rFonts w:ascii="Garamond" w:hAnsi="Garamond"/>
          <w:bCs/>
        </w:rPr>
        <w:t xml:space="preserve"> = 0.73], with these differences also reflected in the mean welfare-change scores in both studies [</w:t>
      </w:r>
      <w:r w:rsidR="00383C46">
        <w:rPr>
          <w:rFonts w:ascii="Garamond" w:hAnsi="Garamond"/>
          <w:bCs/>
          <w:i/>
        </w:rPr>
        <w:t>t</w:t>
      </w:r>
      <w:r w:rsidR="00383C46">
        <w:rPr>
          <w:rFonts w:ascii="Garamond" w:hAnsi="Garamond"/>
          <w:bCs/>
        </w:rPr>
        <w:t xml:space="preserve">(86) = 4.95, </w:t>
      </w:r>
      <w:r w:rsidR="00383C46">
        <w:rPr>
          <w:rFonts w:ascii="Garamond" w:hAnsi="Garamond"/>
          <w:bCs/>
          <w:i/>
        </w:rPr>
        <w:t>p</w:t>
      </w:r>
      <w:r w:rsidR="00383C46">
        <w:rPr>
          <w:rFonts w:ascii="Garamond" w:hAnsi="Garamond"/>
          <w:bCs/>
        </w:rPr>
        <w:t xml:space="preserve"> &lt; .001, </w:t>
      </w:r>
      <w:r w:rsidR="00383C46">
        <w:rPr>
          <w:rFonts w:ascii="Garamond" w:hAnsi="Garamond"/>
          <w:bCs/>
          <w:i/>
        </w:rPr>
        <w:t>d</w:t>
      </w:r>
      <w:r w:rsidR="00383C46">
        <w:rPr>
          <w:rFonts w:ascii="Garamond" w:hAnsi="Garamond"/>
          <w:bCs/>
        </w:rPr>
        <w:t xml:space="preserve"> = 0.38 and </w:t>
      </w:r>
      <w:r w:rsidR="00383C46">
        <w:rPr>
          <w:rFonts w:ascii="Garamond" w:hAnsi="Garamond"/>
          <w:bCs/>
          <w:i/>
        </w:rPr>
        <w:t>t</w:t>
      </w:r>
      <w:r w:rsidR="00383C46">
        <w:rPr>
          <w:rFonts w:ascii="Garamond" w:hAnsi="Garamond"/>
          <w:bCs/>
        </w:rPr>
        <w:t xml:space="preserve">(85) = 4.06, </w:t>
      </w:r>
      <w:r w:rsidR="00383C46">
        <w:rPr>
          <w:rFonts w:ascii="Garamond" w:hAnsi="Garamond"/>
          <w:bCs/>
          <w:i/>
        </w:rPr>
        <w:t>p</w:t>
      </w:r>
      <w:r w:rsidR="00383C46">
        <w:rPr>
          <w:rFonts w:ascii="Garamond" w:hAnsi="Garamond"/>
          <w:bCs/>
        </w:rPr>
        <w:t xml:space="preserve"> &lt; .001, </w:t>
      </w:r>
      <w:r w:rsidR="00383C46">
        <w:rPr>
          <w:rFonts w:ascii="Garamond" w:hAnsi="Garamond"/>
          <w:bCs/>
          <w:i/>
        </w:rPr>
        <w:t>d</w:t>
      </w:r>
      <w:r w:rsidR="00383C46">
        <w:rPr>
          <w:rFonts w:ascii="Garamond" w:hAnsi="Garamond"/>
          <w:bCs/>
        </w:rPr>
        <w:t xml:space="preserve"> = 0.37]. In both studies, traders were likelier to be given no-change scores compared to both buyers [</w:t>
      </w:r>
      <w:r w:rsidR="00383C46">
        <w:rPr>
          <w:rFonts w:ascii="Garamond" w:hAnsi="Garamond"/>
          <w:bCs/>
          <w:i/>
        </w:rPr>
        <w:t>t</w:t>
      </w:r>
      <w:r w:rsidR="00383C46">
        <w:rPr>
          <w:rFonts w:ascii="Garamond" w:hAnsi="Garamond"/>
          <w:bCs/>
        </w:rPr>
        <w:t xml:space="preserve">(86) = 3.79, </w:t>
      </w:r>
      <w:r w:rsidR="00383C46">
        <w:rPr>
          <w:rFonts w:ascii="Garamond" w:hAnsi="Garamond"/>
          <w:bCs/>
          <w:i/>
        </w:rPr>
        <w:t>p</w:t>
      </w:r>
      <w:r w:rsidR="00383C46">
        <w:rPr>
          <w:rFonts w:ascii="Garamond" w:hAnsi="Garamond"/>
          <w:bCs/>
        </w:rPr>
        <w:t xml:space="preserve"> &lt; .001, </w:t>
      </w:r>
      <w:r w:rsidR="00383C46">
        <w:rPr>
          <w:rFonts w:ascii="Garamond" w:hAnsi="Garamond"/>
          <w:bCs/>
          <w:i/>
        </w:rPr>
        <w:t>d</w:t>
      </w:r>
      <w:r w:rsidR="00383C46">
        <w:rPr>
          <w:rFonts w:ascii="Garamond" w:hAnsi="Garamond"/>
          <w:bCs/>
        </w:rPr>
        <w:t xml:space="preserve"> = 0.57 and </w:t>
      </w:r>
      <w:r w:rsidR="00383C46">
        <w:rPr>
          <w:rFonts w:ascii="Garamond" w:hAnsi="Garamond"/>
          <w:bCs/>
          <w:i/>
        </w:rPr>
        <w:t>t</w:t>
      </w:r>
      <w:r w:rsidR="00383C46">
        <w:rPr>
          <w:rFonts w:ascii="Garamond" w:hAnsi="Garamond"/>
          <w:bCs/>
        </w:rPr>
        <w:t xml:space="preserve">(85) = 2.01, </w:t>
      </w:r>
      <w:r w:rsidR="00383C46">
        <w:rPr>
          <w:rFonts w:ascii="Garamond" w:hAnsi="Garamond"/>
          <w:bCs/>
          <w:i/>
        </w:rPr>
        <w:t>p</w:t>
      </w:r>
      <w:r w:rsidR="00383C46">
        <w:rPr>
          <w:rFonts w:ascii="Garamond" w:hAnsi="Garamond"/>
          <w:bCs/>
        </w:rPr>
        <w:t xml:space="preserve"> = .048, </w:t>
      </w:r>
      <w:r w:rsidR="00383C46">
        <w:rPr>
          <w:rFonts w:ascii="Garamond" w:hAnsi="Garamond"/>
          <w:bCs/>
          <w:i/>
        </w:rPr>
        <w:t>d</w:t>
      </w:r>
      <w:r w:rsidR="00383C46">
        <w:rPr>
          <w:rFonts w:ascii="Garamond" w:hAnsi="Garamond"/>
          <w:bCs/>
        </w:rPr>
        <w:t xml:space="preserve"> = 0.25] and sellers (though not significantly for Study S3B) [</w:t>
      </w:r>
      <w:r w:rsidR="00383C46">
        <w:rPr>
          <w:rFonts w:ascii="Garamond" w:hAnsi="Garamond"/>
          <w:bCs/>
          <w:i/>
        </w:rPr>
        <w:t>t</w:t>
      </w:r>
      <w:r w:rsidR="00383C46">
        <w:rPr>
          <w:rFonts w:ascii="Garamond" w:hAnsi="Garamond"/>
          <w:bCs/>
        </w:rPr>
        <w:t xml:space="preserve">(86) = 4.52, </w:t>
      </w:r>
      <w:r w:rsidR="00383C46">
        <w:rPr>
          <w:rFonts w:ascii="Garamond" w:hAnsi="Garamond"/>
          <w:bCs/>
          <w:i/>
        </w:rPr>
        <w:t>p</w:t>
      </w:r>
      <w:r w:rsidR="00383C46">
        <w:rPr>
          <w:rFonts w:ascii="Garamond" w:hAnsi="Garamond"/>
          <w:bCs/>
        </w:rPr>
        <w:t xml:space="preserve"> &lt; .001, </w:t>
      </w:r>
      <w:r w:rsidR="00383C46">
        <w:rPr>
          <w:rFonts w:ascii="Garamond" w:hAnsi="Garamond"/>
          <w:bCs/>
          <w:i/>
        </w:rPr>
        <w:t>d</w:t>
      </w:r>
      <w:r w:rsidR="00383C46">
        <w:rPr>
          <w:rFonts w:ascii="Garamond" w:hAnsi="Garamond"/>
          <w:bCs/>
        </w:rPr>
        <w:t xml:space="preserve"> = 0.61 and </w:t>
      </w:r>
      <w:r w:rsidR="00383C46">
        <w:rPr>
          <w:rFonts w:ascii="Garamond" w:hAnsi="Garamond"/>
          <w:bCs/>
          <w:i/>
        </w:rPr>
        <w:t>t</w:t>
      </w:r>
      <w:r w:rsidR="00383C46">
        <w:rPr>
          <w:rFonts w:ascii="Garamond" w:hAnsi="Garamond"/>
          <w:bCs/>
        </w:rPr>
        <w:t xml:space="preserve">(85) = 1.24, </w:t>
      </w:r>
      <w:r w:rsidR="00383C46">
        <w:rPr>
          <w:rFonts w:ascii="Garamond" w:hAnsi="Garamond"/>
          <w:bCs/>
          <w:i/>
        </w:rPr>
        <w:t>p</w:t>
      </w:r>
      <w:r w:rsidR="00383C46">
        <w:rPr>
          <w:rFonts w:ascii="Garamond" w:hAnsi="Garamond"/>
          <w:bCs/>
        </w:rPr>
        <w:t xml:space="preserve"> = .22, </w:t>
      </w:r>
      <w:r w:rsidR="00383C46">
        <w:rPr>
          <w:rFonts w:ascii="Garamond" w:hAnsi="Garamond"/>
          <w:bCs/>
          <w:i/>
        </w:rPr>
        <w:t>d</w:t>
      </w:r>
      <w:r w:rsidR="00383C46">
        <w:rPr>
          <w:rFonts w:ascii="Garamond" w:hAnsi="Garamond"/>
          <w:bCs/>
        </w:rPr>
        <w:t xml:space="preserve"> = 0.14]. Unlike the difference between buyers and sellers, the mean welfare-change scores did not significantly differ between barters and monetary transactions (averaging across buyers and sellers) in either experiment [</w:t>
      </w:r>
      <w:r w:rsidR="00383C46">
        <w:rPr>
          <w:rFonts w:ascii="Garamond" w:hAnsi="Garamond"/>
          <w:bCs/>
          <w:i/>
        </w:rPr>
        <w:t>t</w:t>
      </w:r>
      <w:r w:rsidR="00383C46">
        <w:rPr>
          <w:rFonts w:ascii="Garamond" w:hAnsi="Garamond"/>
          <w:bCs/>
        </w:rPr>
        <w:t xml:space="preserve">(86) = 1.08, </w:t>
      </w:r>
      <w:r w:rsidR="00383C46">
        <w:rPr>
          <w:rFonts w:ascii="Garamond" w:hAnsi="Garamond"/>
          <w:bCs/>
          <w:i/>
        </w:rPr>
        <w:t>p</w:t>
      </w:r>
      <w:r w:rsidR="00383C46">
        <w:rPr>
          <w:rFonts w:ascii="Garamond" w:hAnsi="Garamond"/>
          <w:bCs/>
        </w:rPr>
        <w:t xml:space="preserve"> = .28, </w:t>
      </w:r>
      <w:r w:rsidR="00383C46">
        <w:rPr>
          <w:rFonts w:ascii="Garamond" w:hAnsi="Garamond"/>
          <w:bCs/>
          <w:i/>
        </w:rPr>
        <w:t>d</w:t>
      </w:r>
      <w:r w:rsidR="00383C46">
        <w:rPr>
          <w:rFonts w:ascii="Garamond" w:hAnsi="Garamond"/>
          <w:bCs/>
        </w:rPr>
        <w:t xml:space="preserve"> = 0.08 and </w:t>
      </w:r>
      <w:r w:rsidR="00383C46">
        <w:rPr>
          <w:rFonts w:ascii="Garamond" w:hAnsi="Garamond"/>
          <w:bCs/>
          <w:i/>
        </w:rPr>
        <w:t>t</w:t>
      </w:r>
      <w:r w:rsidR="00383C46">
        <w:rPr>
          <w:rFonts w:ascii="Garamond" w:hAnsi="Garamond"/>
          <w:bCs/>
        </w:rPr>
        <w:t xml:space="preserve">(85) = 1.24, </w:t>
      </w:r>
      <w:r w:rsidR="00383C46">
        <w:rPr>
          <w:rFonts w:ascii="Garamond" w:hAnsi="Garamond"/>
          <w:bCs/>
          <w:i/>
        </w:rPr>
        <w:t>p</w:t>
      </w:r>
      <w:r w:rsidR="00383C46">
        <w:rPr>
          <w:rFonts w:ascii="Garamond" w:hAnsi="Garamond"/>
          <w:bCs/>
        </w:rPr>
        <w:t xml:space="preserve"> = .22, </w:t>
      </w:r>
      <w:r w:rsidR="00383C46">
        <w:rPr>
          <w:rFonts w:ascii="Garamond" w:hAnsi="Garamond"/>
          <w:bCs/>
          <w:i/>
        </w:rPr>
        <w:t>d</w:t>
      </w:r>
      <w:r w:rsidR="00383C46">
        <w:rPr>
          <w:rFonts w:ascii="Garamond" w:hAnsi="Garamond"/>
          <w:bCs/>
        </w:rPr>
        <w:t xml:space="preserve"> = 0.10].</w:t>
      </w:r>
      <w:r w:rsidR="0016043B">
        <w:rPr>
          <w:rFonts w:ascii="Garamond" w:hAnsi="Garamond"/>
          <w:bCs/>
        </w:rPr>
        <w:t xml:space="preserve"> As we will see, this reflects the much lower rate of win–win </w:t>
      </w:r>
      <w:r w:rsidR="0016043B" w:rsidRPr="00EF2509">
        <w:rPr>
          <w:rFonts w:ascii="Garamond" w:hAnsi="Garamond"/>
          <w:bCs/>
        </w:rPr>
        <w:t>denial seen in Study S3.</w:t>
      </w:r>
    </w:p>
    <w:p w14:paraId="4E85EDE7" w14:textId="17BE82FD" w:rsidR="00562779" w:rsidRDefault="00EF2509" w:rsidP="009515BF">
      <w:pPr>
        <w:spacing w:line="276" w:lineRule="auto"/>
        <w:ind w:firstLine="360"/>
        <w:jc w:val="both"/>
        <w:rPr>
          <w:rFonts w:ascii="Garamond" w:hAnsi="Garamond"/>
          <w:bCs/>
        </w:rPr>
      </w:pPr>
      <w:r w:rsidRPr="00EF2509">
        <w:rPr>
          <w:rFonts w:ascii="Garamond" w:hAnsi="Garamond"/>
          <w:bCs/>
        </w:rPr>
        <w:t>Next,</w:t>
      </w:r>
      <w:r>
        <w:rPr>
          <w:rFonts w:ascii="Garamond" w:hAnsi="Garamond"/>
          <w:bCs/>
        </w:rPr>
        <w:t xml:space="preserve"> we directly compare the rates of win–win denial across studies. </w:t>
      </w:r>
      <w:r w:rsidR="00D10262">
        <w:rPr>
          <w:rFonts w:ascii="Garamond" w:hAnsi="Garamond"/>
          <w:bCs/>
        </w:rPr>
        <w:t>B</w:t>
      </w:r>
      <w:r>
        <w:rPr>
          <w:rFonts w:ascii="Garamond" w:hAnsi="Garamond"/>
          <w:bCs/>
        </w:rPr>
        <w:t>uyers were seen as losing from their trans</w:t>
      </w:r>
      <w:r w:rsidR="007B0915">
        <w:rPr>
          <w:rFonts w:ascii="Garamond" w:hAnsi="Garamond"/>
          <w:bCs/>
        </w:rPr>
        <w:t>actions much less frequently</w:t>
      </w:r>
      <w:r w:rsidR="00D10262">
        <w:rPr>
          <w:rFonts w:ascii="Garamond" w:hAnsi="Garamond"/>
          <w:bCs/>
        </w:rPr>
        <w:t>, compared with the no-reason framing in Study 1 [</w:t>
      </w:r>
      <w:r w:rsidR="00D10262">
        <w:rPr>
          <w:rFonts w:ascii="Garamond" w:hAnsi="Garamond"/>
          <w:bCs/>
          <w:i/>
        </w:rPr>
        <w:t>M</w:t>
      </w:r>
      <w:r w:rsidR="00D10262">
        <w:rPr>
          <w:rFonts w:ascii="Garamond" w:hAnsi="Garamond"/>
          <w:bCs/>
        </w:rPr>
        <w:t xml:space="preserve"> = 2.53, </w:t>
      </w:r>
      <w:r w:rsidR="00D10262">
        <w:rPr>
          <w:rFonts w:ascii="Garamond" w:hAnsi="Garamond"/>
          <w:bCs/>
          <w:i/>
        </w:rPr>
        <w:t>SD</w:t>
      </w:r>
      <w:r w:rsidR="00D10262">
        <w:rPr>
          <w:rFonts w:ascii="Garamond" w:hAnsi="Garamond"/>
          <w:bCs/>
        </w:rPr>
        <w:t xml:space="preserve"> = 2.47 out of 8],</w:t>
      </w:r>
      <w:r w:rsidR="007B0915">
        <w:rPr>
          <w:rFonts w:ascii="Garamond" w:hAnsi="Garamond"/>
          <w:bCs/>
        </w:rPr>
        <w:t xml:space="preserve"> when empty-reasons were given in </w:t>
      </w:r>
      <w:r>
        <w:rPr>
          <w:rFonts w:ascii="Garamond" w:hAnsi="Garamond"/>
          <w:bCs/>
        </w:rPr>
        <w:t>Study S3A</w:t>
      </w:r>
      <w:r w:rsidR="007B0915">
        <w:rPr>
          <w:rFonts w:ascii="Garamond" w:hAnsi="Garamond"/>
          <w:bCs/>
        </w:rPr>
        <w:t xml:space="preserve"> [</w:t>
      </w:r>
      <w:r w:rsidR="00D10262">
        <w:rPr>
          <w:rFonts w:ascii="Garamond" w:hAnsi="Garamond"/>
          <w:bCs/>
          <w:i/>
        </w:rPr>
        <w:t>M</w:t>
      </w:r>
      <w:r w:rsidR="00D10262">
        <w:rPr>
          <w:rFonts w:ascii="Garamond" w:hAnsi="Garamond"/>
          <w:bCs/>
        </w:rPr>
        <w:t xml:space="preserve"> = 1.06, </w:t>
      </w:r>
      <w:r w:rsidR="00D10262">
        <w:rPr>
          <w:rFonts w:ascii="Garamond" w:hAnsi="Garamond"/>
          <w:bCs/>
          <w:i/>
        </w:rPr>
        <w:t>SD</w:t>
      </w:r>
      <w:r w:rsidR="00D10262">
        <w:rPr>
          <w:rFonts w:ascii="Garamond" w:hAnsi="Garamond"/>
          <w:bCs/>
        </w:rPr>
        <w:t xml:space="preserve"> = 1.98 out of </w:t>
      </w:r>
      <w:r w:rsidR="00D10262">
        <w:rPr>
          <w:rFonts w:ascii="Garamond" w:hAnsi="Garamond"/>
          <w:bCs/>
        </w:rPr>
        <w:lastRenderedPageBreak/>
        <w:t xml:space="preserve">8; </w:t>
      </w:r>
      <w:r w:rsidR="007B0915">
        <w:rPr>
          <w:rFonts w:ascii="Garamond" w:hAnsi="Garamond"/>
          <w:bCs/>
          <w:i/>
        </w:rPr>
        <w:t>t</w:t>
      </w:r>
      <w:r w:rsidR="007B0915">
        <w:rPr>
          <w:rFonts w:ascii="Garamond" w:hAnsi="Garamond"/>
          <w:bCs/>
        </w:rPr>
        <w:t>(</w:t>
      </w:r>
      <w:r w:rsidR="00D10262">
        <w:rPr>
          <w:rFonts w:ascii="Garamond" w:hAnsi="Garamond"/>
          <w:bCs/>
        </w:rPr>
        <w:t xml:space="preserve">171) = 4.34, </w:t>
      </w:r>
      <w:r w:rsidR="00D10262">
        <w:rPr>
          <w:rFonts w:ascii="Garamond" w:hAnsi="Garamond"/>
          <w:bCs/>
          <w:i/>
        </w:rPr>
        <w:t>p</w:t>
      </w:r>
      <w:r w:rsidR="00D10262">
        <w:rPr>
          <w:rFonts w:ascii="Garamond" w:hAnsi="Garamond"/>
          <w:bCs/>
        </w:rPr>
        <w:t xml:space="preserve"> &lt; .001, </w:t>
      </w:r>
      <w:r w:rsidR="00D10262">
        <w:rPr>
          <w:rFonts w:ascii="Garamond" w:hAnsi="Garamond"/>
          <w:bCs/>
          <w:i/>
        </w:rPr>
        <w:t>d</w:t>
      </w:r>
      <w:r w:rsidR="00D10262">
        <w:rPr>
          <w:rFonts w:ascii="Garamond" w:hAnsi="Garamond"/>
          <w:bCs/>
        </w:rPr>
        <w:t xml:space="preserve"> = 0.66] or content-reasons were given in Study S3B [</w:t>
      </w:r>
      <w:r w:rsidR="00D10262">
        <w:rPr>
          <w:rFonts w:ascii="Garamond" w:hAnsi="Garamond"/>
          <w:bCs/>
          <w:i/>
        </w:rPr>
        <w:t>M</w:t>
      </w:r>
      <w:r w:rsidR="00D10262">
        <w:rPr>
          <w:rFonts w:ascii="Garamond" w:hAnsi="Garamond"/>
          <w:bCs/>
        </w:rPr>
        <w:t xml:space="preserve"> = 0.92, </w:t>
      </w:r>
      <w:r w:rsidR="00D10262">
        <w:rPr>
          <w:rFonts w:ascii="Garamond" w:hAnsi="Garamond"/>
          <w:bCs/>
          <w:i/>
        </w:rPr>
        <w:t>SD</w:t>
      </w:r>
      <w:r w:rsidR="00D10262">
        <w:rPr>
          <w:rFonts w:ascii="Garamond" w:hAnsi="Garamond"/>
          <w:bCs/>
        </w:rPr>
        <w:t xml:space="preserve"> = 1.47</w:t>
      </w:r>
      <w:r w:rsidR="00250AD9">
        <w:rPr>
          <w:rFonts w:ascii="Garamond" w:hAnsi="Garamond"/>
          <w:bCs/>
        </w:rPr>
        <w:t xml:space="preserve"> out of 8</w:t>
      </w:r>
      <w:r w:rsidR="00D10262">
        <w:rPr>
          <w:rFonts w:ascii="Garamond" w:hAnsi="Garamond"/>
          <w:bCs/>
        </w:rPr>
        <w:t xml:space="preserve">; </w:t>
      </w:r>
      <w:r w:rsidR="00D10262">
        <w:rPr>
          <w:rFonts w:ascii="Garamond" w:hAnsi="Garamond"/>
          <w:bCs/>
          <w:i/>
        </w:rPr>
        <w:t>t</w:t>
      </w:r>
      <w:r w:rsidR="00D10262">
        <w:rPr>
          <w:rFonts w:ascii="Garamond" w:hAnsi="Garamond"/>
          <w:bCs/>
        </w:rPr>
        <w:t xml:space="preserve">(170) = 5.21, </w:t>
      </w:r>
      <w:r w:rsidR="00D10262">
        <w:rPr>
          <w:rFonts w:ascii="Garamond" w:hAnsi="Garamond"/>
          <w:bCs/>
          <w:i/>
        </w:rPr>
        <w:t>p</w:t>
      </w:r>
      <w:r w:rsidR="00D10262">
        <w:rPr>
          <w:rFonts w:ascii="Garamond" w:hAnsi="Garamond"/>
          <w:bCs/>
        </w:rPr>
        <w:t xml:space="preserve"> &lt; .001, </w:t>
      </w:r>
      <w:r w:rsidR="00D10262">
        <w:rPr>
          <w:rFonts w:ascii="Garamond" w:hAnsi="Garamond"/>
          <w:bCs/>
          <w:i/>
        </w:rPr>
        <w:t>d</w:t>
      </w:r>
      <w:r w:rsidR="00D10262">
        <w:rPr>
          <w:rFonts w:ascii="Garamond" w:hAnsi="Garamond"/>
          <w:bCs/>
        </w:rPr>
        <w:t xml:space="preserve"> = 0.79]; Studies S3A and S3B did not differ from one another [</w:t>
      </w:r>
      <w:r w:rsidR="00D10262">
        <w:rPr>
          <w:rFonts w:ascii="Garamond" w:hAnsi="Garamond"/>
          <w:bCs/>
          <w:i/>
        </w:rPr>
        <w:t>t</w:t>
      </w:r>
      <w:r w:rsidR="00D10262">
        <w:rPr>
          <w:rFonts w:ascii="Garamond" w:hAnsi="Garamond"/>
          <w:bCs/>
        </w:rPr>
        <w:t xml:space="preserve">(171) = 0.52, </w:t>
      </w:r>
      <w:r w:rsidR="00D10262">
        <w:rPr>
          <w:rFonts w:ascii="Garamond" w:hAnsi="Garamond"/>
          <w:bCs/>
          <w:i/>
        </w:rPr>
        <w:t>p</w:t>
      </w:r>
      <w:r w:rsidR="00D10262">
        <w:rPr>
          <w:rFonts w:ascii="Garamond" w:hAnsi="Garamond"/>
          <w:bCs/>
        </w:rPr>
        <w:t xml:space="preserve"> = .60, </w:t>
      </w:r>
      <w:r w:rsidR="00D10262">
        <w:rPr>
          <w:rFonts w:ascii="Garamond" w:hAnsi="Garamond"/>
          <w:bCs/>
          <w:i/>
        </w:rPr>
        <w:t>d</w:t>
      </w:r>
      <w:r w:rsidR="00D10262">
        <w:rPr>
          <w:rFonts w:ascii="Garamond" w:hAnsi="Garamond"/>
          <w:bCs/>
        </w:rPr>
        <w:t xml:space="preserve"> = 0.08]. These trends were also reflected in</w:t>
      </w:r>
      <w:r w:rsidR="006E7D77">
        <w:rPr>
          <w:rFonts w:ascii="Garamond" w:hAnsi="Garamond"/>
          <w:bCs/>
        </w:rPr>
        <w:t xml:space="preserve"> the mean welfare-change scores for buyers, which were significantly more positive in Study S3A [</w:t>
      </w:r>
      <w:r w:rsidR="006E7D77">
        <w:rPr>
          <w:rFonts w:ascii="Garamond" w:hAnsi="Garamond"/>
          <w:bCs/>
          <w:i/>
        </w:rPr>
        <w:t>M</w:t>
      </w:r>
      <w:r w:rsidR="006E7D77">
        <w:rPr>
          <w:rFonts w:ascii="Garamond" w:hAnsi="Garamond"/>
          <w:bCs/>
        </w:rPr>
        <w:t xml:space="preserve"> = 2.18, </w:t>
      </w:r>
      <w:r w:rsidR="006E7D77">
        <w:rPr>
          <w:rFonts w:ascii="Garamond" w:hAnsi="Garamond"/>
          <w:bCs/>
          <w:i/>
        </w:rPr>
        <w:t>SD</w:t>
      </w:r>
      <w:r w:rsidR="006E7D77">
        <w:rPr>
          <w:rFonts w:ascii="Garamond" w:hAnsi="Garamond"/>
          <w:bCs/>
        </w:rPr>
        <w:t xml:space="preserve"> = 1.79; </w:t>
      </w:r>
      <w:r w:rsidR="006E7D77">
        <w:rPr>
          <w:rFonts w:ascii="Garamond" w:hAnsi="Garamond"/>
          <w:bCs/>
          <w:i/>
        </w:rPr>
        <w:t>t</w:t>
      </w:r>
      <w:r w:rsidR="006E7D77">
        <w:rPr>
          <w:rFonts w:ascii="Garamond" w:hAnsi="Garamond"/>
          <w:bCs/>
        </w:rPr>
        <w:t xml:space="preserve">(171) = 5.98, </w:t>
      </w:r>
      <w:r w:rsidR="006E7D77">
        <w:rPr>
          <w:rFonts w:ascii="Garamond" w:hAnsi="Garamond"/>
          <w:bCs/>
          <w:i/>
        </w:rPr>
        <w:t>p</w:t>
      </w:r>
      <w:r w:rsidR="006E7D77">
        <w:rPr>
          <w:rFonts w:ascii="Garamond" w:hAnsi="Garamond"/>
          <w:bCs/>
        </w:rPr>
        <w:t xml:space="preserve"> &lt; .001, </w:t>
      </w:r>
      <w:r w:rsidR="006E7D77">
        <w:rPr>
          <w:rFonts w:ascii="Garamond" w:hAnsi="Garamond"/>
          <w:bCs/>
          <w:i/>
        </w:rPr>
        <w:t>d</w:t>
      </w:r>
      <w:r w:rsidR="006E7D77">
        <w:rPr>
          <w:rFonts w:ascii="Garamond" w:hAnsi="Garamond"/>
          <w:bCs/>
        </w:rPr>
        <w:t xml:space="preserve"> = 0.91] and Study S3B [</w:t>
      </w:r>
      <w:r w:rsidR="006E7D77">
        <w:rPr>
          <w:rFonts w:ascii="Garamond" w:hAnsi="Garamond"/>
          <w:bCs/>
          <w:i/>
        </w:rPr>
        <w:t>M</w:t>
      </w:r>
      <w:r w:rsidR="006E7D77">
        <w:rPr>
          <w:rFonts w:ascii="Garamond" w:hAnsi="Garamond"/>
          <w:bCs/>
        </w:rPr>
        <w:t xml:space="preserve"> = 2.16, </w:t>
      </w:r>
      <w:r w:rsidR="006E7D77">
        <w:rPr>
          <w:rFonts w:ascii="Garamond" w:hAnsi="Garamond"/>
          <w:bCs/>
          <w:i/>
        </w:rPr>
        <w:t>SD</w:t>
      </w:r>
      <w:r w:rsidR="006E7D77">
        <w:rPr>
          <w:rFonts w:ascii="Garamond" w:hAnsi="Garamond"/>
          <w:bCs/>
        </w:rPr>
        <w:t xml:space="preserve"> = 1.35; </w:t>
      </w:r>
      <w:r w:rsidR="006E7D77">
        <w:rPr>
          <w:rFonts w:ascii="Garamond" w:hAnsi="Garamond"/>
          <w:bCs/>
          <w:i/>
        </w:rPr>
        <w:t>t</w:t>
      </w:r>
      <w:r w:rsidR="006E7D77">
        <w:rPr>
          <w:rFonts w:ascii="Garamond" w:hAnsi="Garamond"/>
          <w:bCs/>
        </w:rPr>
        <w:t xml:space="preserve">(170) = 6.82, </w:t>
      </w:r>
      <w:r w:rsidR="006E7D77">
        <w:rPr>
          <w:rFonts w:ascii="Garamond" w:hAnsi="Garamond"/>
          <w:bCs/>
          <w:i/>
        </w:rPr>
        <w:t>p</w:t>
      </w:r>
      <w:r w:rsidR="006E7D77">
        <w:rPr>
          <w:rFonts w:ascii="Garamond" w:hAnsi="Garamond"/>
          <w:bCs/>
        </w:rPr>
        <w:t xml:space="preserve"> &lt; .001, </w:t>
      </w:r>
      <w:r w:rsidR="006E7D77">
        <w:rPr>
          <w:rFonts w:ascii="Garamond" w:hAnsi="Garamond"/>
          <w:bCs/>
          <w:i/>
        </w:rPr>
        <w:t>d</w:t>
      </w:r>
      <w:r w:rsidR="006E7D77">
        <w:rPr>
          <w:rFonts w:ascii="Garamond" w:hAnsi="Garamond"/>
          <w:bCs/>
        </w:rPr>
        <w:t xml:space="preserve"> = 1.04] compared to Study 1 [</w:t>
      </w:r>
      <w:r w:rsidR="006E7D77">
        <w:rPr>
          <w:rFonts w:ascii="Garamond" w:hAnsi="Garamond"/>
          <w:bCs/>
          <w:i/>
        </w:rPr>
        <w:t>M</w:t>
      </w:r>
      <w:r w:rsidR="006E7D77">
        <w:rPr>
          <w:rFonts w:ascii="Garamond" w:hAnsi="Garamond"/>
          <w:bCs/>
        </w:rPr>
        <w:t xml:space="preserve"> = 0.69, </w:t>
      </w:r>
      <w:r w:rsidR="006E7D77">
        <w:rPr>
          <w:rFonts w:ascii="Garamond" w:hAnsi="Garamond"/>
          <w:bCs/>
          <w:i/>
        </w:rPr>
        <w:t>SD</w:t>
      </w:r>
      <w:r w:rsidR="006E7D77">
        <w:rPr>
          <w:rFonts w:ascii="Garamond" w:hAnsi="Garamond"/>
          <w:bCs/>
        </w:rPr>
        <w:t xml:space="preserve"> = 1.48].</w:t>
      </w:r>
    </w:p>
    <w:p w14:paraId="78955D70" w14:textId="544A0C50" w:rsidR="006E7D77" w:rsidRPr="00837B93" w:rsidRDefault="006E7D77" w:rsidP="009515BF">
      <w:pPr>
        <w:spacing w:line="276" w:lineRule="auto"/>
        <w:ind w:firstLine="360"/>
        <w:jc w:val="both"/>
        <w:rPr>
          <w:rFonts w:ascii="Garamond" w:hAnsi="Garamond"/>
          <w:bCs/>
        </w:rPr>
      </w:pPr>
      <w:r>
        <w:rPr>
          <w:rFonts w:ascii="Garamond" w:hAnsi="Garamond"/>
          <w:bCs/>
        </w:rPr>
        <w:t xml:space="preserve">Similar effects </w:t>
      </w:r>
      <w:r w:rsidR="00250AD9">
        <w:rPr>
          <w:rFonts w:ascii="Garamond" w:hAnsi="Garamond"/>
          <w:bCs/>
        </w:rPr>
        <w:t>were seen for traders. The perception that traders experience no change from their barters was significantly lower in both Study S3A [</w:t>
      </w:r>
      <w:r w:rsidR="00250AD9">
        <w:rPr>
          <w:rFonts w:ascii="Garamond" w:hAnsi="Garamond"/>
          <w:bCs/>
          <w:i/>
        </w:rPr>
        <w:t>M</w:t>
      </w:r>
      <w:r w:rsidR="00250AD9">
        <w:rPr>
          <w:rFonts w:ascii="Garamond" w:hAnsi="Garamond"/>
          <w:bCs/>
        </w:rPr>
        <w:t xml:space="preserve"> = 1.40, </w:t>
      </w:r>
      <w:r w:rsidR="00250AD9">
        <w:rPr>
          <w:rFonts w:ascii="Garamond" w:hAnsi="Garamond"/>
          <w:bCs/>
          <w:i/>
        </w:rPr>
        <w:t>SD</w:t>
      </w:r>
      <w:r w:rsidR="00250AD9">
        <w:rPr>
          <w:rFonts w:ascii="Garamond" w:hAnsi="Garamond"/>
          <w:bCs/>
        </w:rPr>
        <w:t xml:space="preserve"> = 2.58 out of 8; </w:t>
      </w:r>
      <w:r w:rsidR="00250AD9">
        <w:rPr>
          <w:rFonts w:ascii="Garamond" w:hAnsi="Garamond"/>
          <w:bCs/>
          <w:i/>
        </w:rPr>
        <w:t>t</w:t>
      </w:r>
      <w:r w:rsidR="00250AD9">
        <w:rPr>
          <w:rFonts w:ascii="Garamond" w:hAnsi="Garamond"/>
          <w:bCs/>
        </w:rPr>
        <w:t xml:space="preserve">(171) = 4.46, </w:t>
      </w:r>
      <w:r w:rsidR="00250AD9">
        <w:rPr>
          <w:rFonts w:ascii="Garamond" w:hAnsi="Garamond"/>
          <w:bCs/>
          <w:i/>
        </w:rPr>
        <w:t>p</w:t>
      </w:r>
      <w:r w:rsidR="00250AD9">
        <w:rPr>
          <w:rFonts w:ascii="Garamond" w:hAnsi="Garamond"/>
          <w:bCs/>
        </w:rPr>
        <w:t xml:space="preserve"> &lt; .001, </w:t>
      </w:r>
      <w:r w:rsidR="00250AD9">
        <w:rPr>
          <w:rFonts w:ascii="Garamond" w:hAnsi="Garamond"/>
          <w:bCs/>
          <w:i/>
        </w:rPr>
        <w:t>d</w:t>
      </w:r>
      <w:r w:rsidR="00250AD9">
        <w:rPr>
          <w:rFonts w:ascii="Garamond" w:hAnsi="Garamond"/>
          <w:bCs/>
        </w:rPr>
        <w:t xml:space="preserve"> = 0.68] and Study S3B [</w:t>
      </w:r>
      <w:r w:rsidR="00250AD9">
        <w:rPr>
          <w:rFonts w:ascii="Garamond" w:hAnsi="Garamond"/>
          <w:bCs/>
          <w:i/>
        </w:rPr>
        <w:t>M</w:t>
      </w:r>
      <w:r w:rsidR="00250AD9">
        <w:rPr>
          <w:rFonts w:ascii="Garamond" w:hAnsi="Garamond"/>
          <w:bCs/>
        </w:rPr>
        <w:t xml:space="preserve"> = 0.84, </w:t>
      </w:r>
      <w:r w:rsidR="00250AD9">
        <w:rPr>
          <w:rFonts w:ascii="Garamond" w:hAnsi="Garamond"/>
          <w:bCs/>
          <w:i/>
        </w:rPr>
        <w:t>SD</w:t>
      </w:r>
      <w:r w:rsidR="00250AD9">
        <w:rPr>
          <w:rFonts w:ascii="Garamond" w:hAnsi="Garamond"/>
          <w:bCs/>
        </w:rPr>
        <w:t xml:space="preserve"> = 1.84 out of 8; </w:t>
      </w:r>
      <w:r w:rsidR="00250AD9">
        <w:rPr>
          <w:rFonts w:ascii="Garamond" w:hAnsi="Garamond"/>
          <w:bCs/>
          <w:i/>
        </w:rPr>
        <w:t>t</w:t>
      </w:r>
      <w:r w:rsidR="00250AD9">
        <w:rPr>
          <w:rFonts w:ascii="Garamond" w:hAnsi="Garamond"/>
          <w:bCs/>
        </w:rPr>
        <w:t xml:space="preserve">(170) = 6.50, </w:t>
      </w:r>
      <w:r w:rsidR="00250AD9">
        <w:rPr>
          <w:rFonts w:ascii="Garamond" w:hAnsi="Garamond"/>
          <w:bCs/>
          <w:i/>
        </w:rPr>
        <w:t>p</w:t>
      </w:r>
      <w:r w:rsidR="00250AD9">
        <w:rPr>
          <w:rFonts w:ascii="Garamond" w:hAnsi="Garamond"/>
          <w:bCs/>
        </w:rPr>
        <w:t xml:space="preserve"> &lt; .001, </w:t>
      </w:r>
      <w:r w:rsidR="00250AD9">
        <w:rPr>
          <w:rFonts w:ascii="Garamond" w:hAnsi="Garamond"/>
          <w:bCs/>
          <w:i/>
        </w:rPr>
        <w:t>d</w:t>
      </w:r>
      <w:r w:rsidR="00250AD9">
        <w:rPr>
          <w:rFonts w:ascii="Garamond" w:hAnsi="Garamond"/>
          <w:bCs/>
        </w:rPr>
        <w:t xml:space="preserve"> = 0.99], relative to Study 1 [</w:t>
      </w:r>
      <w:r w:rsidR="00250AD9">
        <w:rPr>
          <w:rFonts w:ascii="Garamond" w:hAnsi="Garamond"/>
          <w:bCs/>
          <w:i/>
        </w:rPr>
        <w:t>M</w:t>
      </w:r>
      <w:r w:rsidR="00250AD9">
        <w:rPr>
          <w:rFonts w:ascii="Garamond" w:hAnsi="Garamond"/>
          <w:bCs/>
        </w:rPr>
        <w:t xml:space="preserve"> = 3.29, </w:t>
      </w:r>
      <w:r w:rsidR="00250AD9">
        <w:rPr>
          <w:rFonts w:ascii="Garamond" w:hAnsi="Garamond"/>
          <w:bCs/>
          <w:i/>
        </w:rPr>
        <w:t>SD</w:t>
      </w:r>
      <w:r w:rsidR="00250AD9">
        <w:rPr>
          <w:rFonts w:ascii="Garamond" w:hAnsi="Garamond"/>
          <w:bCs/>
        </w:rPr>
        <w:t xml:space="preserve"> = 2.98]; this effect was slightly larger in Study S3B (with content reasons), reflected in a marginally significant difference between Studies S3A and S3B [</w:t>
      </w:r>
      <w:r w:rsidR="00250AD9">
        <w:rPr>
          <w:rFonts w:ascii="Garamond" w:hAnsi="Garamond"/>
          <w:bCs/>
          <w:i/>
        </w:rPr>
        <w:t>t</w:t>
      </w:r>
      <w:r w:rsidR="00250AD9">
        <w:rPr>
          <w:rFonts w:ascii="Garamond" w:hAnsi="Garamond"/>
          <w:bCs/>
        </w:rPr>
        <w:t xml:space="preserve">(171) = 1.66, </w:t>
      </w:r>
      <w:r w:rsidR="00250AD9">
        <w:rPr>
          <w:rFonts w:ascii="Garamond" w:hAnsi="Garamond"/>
          <w:bCs/>
          <w:i/>
        </w:rPr>
        <w:t>p</w:t>
      </w:r>
      <w:r w:rsidR="00250AD9">
        <w:rPr>
          <w:rFonts w:ascii="Garamond" w:hAnsi="Garamond"/>
          <w:bCs/>
        </w:rPr>
        <w:t xml:space="preserve"> =.099]. These effects translated into much higher welfare-change scores for barters in Study S3A [</w:t>
      </w:r>
      <w:r w:rsidR="00250AD9">
        <w:rPr>
          <w:rFonts w:ascii="Garamond" w:hAnsi="Garamond"/>
          <w:bCs/>
          <w:i/>
        </w:rPr>
        <w:t>M</w:t>
      </w:r>
      <w:r w:rsidR="00250AD9">
        <w:rPr>
          <w:rFonts w:ascii="Garamond" w:hAnsi="Garamond"/>
          <w:bCs/>
        </w:rPr>
        <w:t xml:space="preserve"> = 2.34, </w:t>
      </w:r>
      <w:r w:rsidR="00250AD9">
        <w:rPr>
          <w:rFonts w:ascii="Garamond" w:hAnsi="Garamond"/>
          <w:bCs/>
          <w:i/>
        </w:rPr>
        <w:t>SD</w:t>
      </w:r>
      <w:r w:rsidR="00250AD9">
        <w:rPr>
          <w:rFonts w:ascii="Garamond" w:hAnsi="Garamond"/>
          <w:bCs/>
        </w:rPr>
        <w:t xml:space="preserve"> = 1.92; </w:t>
      </w:r>
      <w:r w:rsidR="00250AD9">
        <w:rPr>
          <w:rFonts w:ascii="Garamond" w:hAnsi="Garamond"/>
          <w:bCs/>
          <w:i/>
        </w:rPr>
        <w:t>t</w:t>
      </w:r>
      <w:r w:rsidR="00250AD9">
        <w:rPr>
          <w:rFonts w:ascii="Garamond" w:hAnsi="Garamond"/>
          <w:bCs/>
        </w:rPr>
        <w:t xml:space="preserve">(171) = 7.98, </w:t>
      </w:r>
      <w:r w:rsidR="00250AD9">
        <w:rPr>
          <w:rFonts w:ascii="Garamond" w:hAnsi="Garamond"/>
          <w:bCs/>
          <w:i/>
        </w:rPr>
        <w:t>p</w:t>
      </w:r>
      <w:r w:rsidR="00250AD9">
        <w:rPr>
          <w:rFonts w:ascii="Garamond" w:hAnsi="Garamond"/>
          <w:bCs/>
        </w:rPr>
        <w:t xml:space="preserve"> &lt; .001, </w:t>
      </w:r>
      <w:r w:rsidR="00250AD9">
        <w:rPr>
          <w:rFonts w:ascii="Garamond" w:hAnsi="Garamond"/>
          <w:bCs/>
          <w:i/>
        </w:rPr>
        <w:t>d</w:t>
      </w:r>
      <w:r w:rsidR="00250AD9">
        <w:rPr>
          <w:rFonts w:ascii="Garamond" w:hAnsi="Garamond"/>
          <w:bCs/>
        </w:rPr>
        <w:t xml:space="preserve"> = 1.21] and Study S3B [</w:t>
      </w:r>
      <w:r w:rsidR="00250AD9">
        <w:rPr>
          <w:rFonts w:ascii="Garamond" w:hAnsi="Garamond"/>
          <w:bCs/>
          <w:i/>
        </w:rPr>
        <w:t>M</w:t>
      </w:r>
      <w:r w:rsidR="00250AD9">
        <w:rPr>
          <w:rFonts w:ascii="Garamond" w:hAnsi="Garamond"/>
          <w:bCs/>
        </w:rPr>
        <w:t xml:space="preserve"> = 2.54, </w:t>
      </w:r>
      <w:r w:rsidR="00250AD9">
        <w:rPr>
          <w:rFonts w:ascii="Garamond" w:hAnsi="Garamond"/>
          <w:bCs/>
          <w:i/>
        </w:rPr>
        <w:t>SD</w:t>
      </w:r>
      <w:r w:rsidR="00250AD9">
        <w:rPr>
          <w:rFonts w:ascii="Garamond" w:hAnsi="Garamond"/>
          <w:bCs/>
        </w:rPr>
        <w:t xml:space="preserve"> = 1.45; </w:t>
      </w:r>
      <w:r w:rsidR="00250AD9">
        <w:rPr>
          <w:rFonts w:ascii="Garamond" w:hAnsi="Garamond"/>
          <w:bCs/>
          <w:i/>
        </w:rPr>
        <w:t>t</w:t>
      </w:r>
      <w:r w:rsidR="00250AD9">
        <w:rPr>
          <w:rFonts w:ascii="Garamond" w:hAnsi="Garamond"/>
          <w:bCs/>
        </w:rPr>
        <w:t xml:space="preserve">(170) = 10.96, </w:t>
      </w:r>
      <w:r w:rsidR="00250AD9">
        <w:rPr>
          <w:rFonts w:ascii="Garamond" w:hAnsi="Garamond"/>
          <w:bCs/>
          <w:i/>
        </w:rPr>
        <w:t>p</w:t>
      </w:r>
      <w:r w:rsidR="00250AD9">
        <w:rPr>
          <w:rFonts w:ascii="Garamond" w:hAnsi="Garamond"/>
          <w:bCs/>
        </w:rPr>
        <w:t xml:space="preserve"> &lt; .001, </w:t>
      </w:r>
      <w:r w:rsidR="00250AD9">
        <w:rPr>
          <w:rFonts w:ascii="Garamond" w:hAnsi="Garamond"/>
          <w:bCs/>
          <w:i/>
        </w:rPr>
        <w:t>d</w:t>
      </w:r>
      <w:r w:rsidR="00250AD9">
        <w:rPr>
          <w:rFonts w:ascii="Garamond" w:hAnsi="Garamond"/>
          <w:bCs/>
        </w:rPr>
        <w:t xml:space="preserve"> </w:t>
      </w:r>
      <w:r w:rsidR="00250AD9" w:rsidRPr="00837B93">
        <w:rPr>
          <w:rFonts w:ascii="Garamond" w:hAnsi="Garamond"/>
          <w:bCs/>
        </w:rPr>
        <w:t>= 1.67] compared to Study 1 [</w:t>
      </w:r>
      <w:r w:rsidR="00250AD9" w:rsidRPr="00837B93">
        <w:rPr>
          <w:rFonts w:ascii="Garamond" w:hAnsi="Garamond"/>
          <w:bCs/>
          <w:i/>
        </w:rPr>
        <w:t>M</w:t>
      </w:r>
      <w:r w:rsidR="00250AD9" w:rsidRPr="00837B93">
        <w:rPr>
          <w:rFonts w:ascii="Garamond" w:hAnsi="Garamond"/>
          <w:bCs/>
        </w:rPr>
        <w:t xml:space="preserve"> = 0.51, </w:t>
      </w:r>
      <w:r w:rsidR="00250AD9" w:rsidRPr="00837B93">
        <w:rPr>
          <w:rFonts w:ascii="Garamond" w:hAnsi="Garamond"/>
          <w:bCs/>
          <w:i/>
        </w:rPr>
        <w:t>SD</w:t>
      </w:r>
      <w:r w:rsidR="00250AD9" w:rsidRPr="00837B93">
        <w:rPr>
          <w:rFonts w:ascii="Garamond" w:hAnsi="Garamond"/>
          <w:bCs/>
        </w:rPr>
        <w:t xml:space="preserve"> = 0.93].</w:t>
      </w:r>
    </w:p>
    <w:p w14:paraId="72AAC290" w14:textId="79E350D0" w:rsidR="00562779" w:rsidRPr="00364158" w:rsidRDefault="00837B93" w:rsidP="008F1493">
      <w:pPr>
        <w:spacing w:line="276" w:lineRule="auto"/>
        <w:ind w:firstLine="360"/>
        <w:jc w:val="both"/>
        <w:rPr>
          <w:rFonts w:ascii="Garamond" w:hAnsi="Garamond"/>
          <w:bCs/>
        </w:rPr>
      </w:pPr>
      <w:r w:rsidRPr="00837B93">
        <w:rPr>
          <w:rFonts w:ascii="Garamond" w:hAnsi="Garamond"/>
          <w:bCs/>
        </w:rPr>
        <w:t>Over</w:t>
      </w:r>
      <w:r>
        <w:rPr>
          <w:rFonts w:ascii="Garamond" w:hAnsi="Garamond"/>
          <w:bCs/>
        </w:rPr>
        <w:t xml:space="preserve">all, the perspective-taking manipulations led to much lower rates of win–win denial and zero-sum thinking. </w:t>
      </w:r>
      <w:r w:rsidRPr="00B16AA7">
        <w:rPr>
          <w:rFonts w:ascii="Garamond" w:hAnsi="Garamond"/>
          <w:bCs/>
        </w:rPr>
        <w:t xml:space="preserve">Whereas most participants in Study 1 (88%) </w:t>
      </w:r>
      <w:r w:rsidR="009515BF" w:rsidRPr="00B16AA7">
        <w:rPr>
          <w:rFonts w:ascii="Garamond" w:hAnsi="Garamond"/>
          <w:bCs/>
        </w:rPr>
        <w:t xml:space="preserve">believed that at least one of the transactions was non-positive-sum, this proportion was far lower in </w:t>
      </w:r>
      <w:r w:rsidRPr="00B16AA7">
        <w:rPr>
          <w:rFonts w:ascii="Garamond" w:hAnsi="Garamond"/>
          <w:bCs/>
        </w:rPr>
        <w:t>Studies</w:t>
      </w:r>
      <w:r w:rsidR="009515BF" w:rsidRPr="00B16AA7">
        <w:rPr>
          <w:rFonts w:ascii="Garamond" w:hAnsi="Garamond"/>
          <w:bCs/>
        </w:rPr>
        <w:t xml:space="preserve"> </w:t>
      </w:r>
      <w:r w:rsidRPr="00B16AA7">
        <w:rPr>
          <w:rFonts w:ascii="Garamond" w:hAnsi="Garamond"/>
          <w:bCs/>
        </w:rPr>
        <w:t>S</w:t>
      </w:r>
      <w:r w:rsidR="009515BF" w:rsidRPr="00B16AA7">
        <w:rPr>
          <w:rFonts w:ascii="Garamond" w:hAnsi="Garamond"/>
          <w:bCs/>
        </w:rPr>
        <w:t>3</w:t>
      </w:r>
      <w:r w:rsidRPr="00B16AA7">
        <w:rPr>
          <w:rFonts w:ascii="Garamond" w:hAnsi="Garamond"/>
          <w:bCs/>
        </w:rPr>
        <w:t>A (39</w:t>
      </w:r>
      <w:r w:rsidR="009515BF" w:rsidRPr="00B16AA7">
        <w:rPr>
          <w:rFonts w:ascii="Garamond" w:hAnsi="Garamond"/>
          <w:bCs/>
        </w:rPr>
        <w:t>%)</w:t>
      </w:r>
      <w:r w:rsidRPr="00B16AA7">
        <w:rPr>
          <w:rFonts w:ascii="Garamond" w:hAnsi="Garamond"/>
          <w:bCs/>
        </w:rPr>
        <w:t xml:space="preserve"> and S3B (</w:t>
      </w:r>
      <w:r w:rsidR="00B16AA7" w:rsidRPr="00B16AA7">
        <w:rPr>
          <w:rFonts w:ascii="Garamond" w:hAnsi="Garamond"/>
          <w:bCs/>
        </w:rPr>
        <w:t>41%)</w:t>
      </w:r>
      <w:r w:rsidR="009515BF" w:rsidRPr="00B16AA7">
        <w:rPr>
          <w:rFonts w:ascii="Garamond" w:hAnsi="Garamond"/>
          <w:bCs/>
        </w:rPr>
        <w:t xml:space="preserve">. Likewise, whereas nearly all participants in </w:t>
      </w:r>
      <w:r w:rsidR="00B16AA7" w:rsidRPr="00B16AA7">
        <w:rPr>
          <w:rFonts w:ascii="Garamond" w:hAnsi="Garamond"/>
          <w:bCs/>
        </w:rPr>
        <w:t>Study</w:t>
      </w:r>
      <w:r w:rsidR="009515BF" w:rsidRPr="00B16AA7">
        <w:rPr>
          <w:rFonts w:ascii="Garamond" w:hAnsi="Garamond"/>
          <w:bCs/>
        </w:rPr>
        <w:t xml:space="preserve"> 1 (94%) believed that at least one individual in one of the transactions failed to benefit, this proportion was more modest in </w:t>
      </w:r>
      <w:r w:rsidR="00B16AA7">
        <w:rPr>
          <w:rFonts w:ascii="Garamond" w:hAnsi="Garamond"/>
          <w:bCs/>
        </w:rPr>
        <w:t>Studies S</w:t>
      </w:r>
      <w:r w:rsidR="009515BF" w:rsidRPr="00B16AA7">
        <w:rPr>
          <w:rFonts w:ascii="Garamond" w:hAnsi="Garamond"/>
          <w:bCs/>
        </w:rPr>
        <w:t>3</w:t>
      </w:r>
      <w:r w:rsidR="00B16AA7">
        <w:rPr>
          <w:rFonts w:ascii="Garamond" w:hAnsi="Garamond"/>
          <w:bCs/>
        </w:rPr>
        <w:t>A (60</w:t>
      </w:r>
      <w:r w:rsidR="009515BF" w:rsidRPr="00B16AA7">
        <w:rPr>
          <w:rFonts w:ascii="Garamond" w:hAnsi="Garamond"/>
          <w:bCs/>
        </w:rPr>
        <w:t>%)</w:t>
      </w:r>
      <w:r w:rsidR="00B16AA7">
        <w:rPr>
          <w:rFonts w:ascii="Garamond" w:hAnsi="Garamond"/>
          <w:bCs/>
        </w:rPr>
        <w:t xml:space="preserve"> and S3B (65%)</w:t>
      </w:r>
      <w:r w:rsidR="009515BF" w:rsidRPr="00B16AA7">
        <w:rPr>
          <w:rFonts w:ascii="Garamond" w:hAnsi="Garamond"/>
          <w:bCs/>
        </w:rPr>
        <w:t xml:space="preserve">. Thus, although perspective-taking interventions certainly did not </w:t>
      </w:r>
      <w:r w:rsidR="009515BF" w:rsidRPr="00B16AA7">
        <w:rPr>
          <w:rFonts w:ascii="Garamond" w:hAnsi="Garamond"/>
          <w:bCs/>
          <w:i/>
        </w:rPr>
        <w:t>eliminate</w:t>
      </w:r>
      <w:r w:rsidR="009515BF" w:rsidRPr="00B16AA7">
        <w:rPr>
          <w:rFonts w:ascii="Garamond" w:hAnsi="Garamond"/>
          <w:bCs/>
        </w:rPr>
        <w:t xml:space="preserve"> zero-sum thinking, it dramatically lowered its incidence</w:t>
      </w:r>
      <w:r w:rsidR="00B16AA7">
        <w:rPr>
          <w:rFonts w:ascii="Garamond" w:hAnsi="Garamond"/>
          <w:bCs/>
        </w:rPr>
        <w:t>.</w:t>
      </w:r>
    </w:p>
    <w:p w14:paraId="1BF7042D" w14:textId="1EC12BD2" w:rsidR="00562779" w:rsidRPr="00364158" w:rsidRDefault="00364158" w:rsidP="00364158">
      <w:pPr>
        <w:spacing w:line="276" w:lineRule="auto"/>
        <w:ind w:firstLine="360"/>
        <w:jc w:val="both"/>
        <w:rPr>
          <w:rFonts w:ascii="Garamond" w:hAnsi="Garamond"/>
          <w:bCs/>
        </w:rPr>
      </w:pPr>
      <w:r w:rsidRPr="00364158">
        <w:rPr>
          <w:rFonts w:ascii="Garamond" w:hAnsi="Garamond"/>
          <w:bCs/>
        </w:rPr>
        <w:t>O</w:t>
      </w:r>
      <w:r>
        <w:rPr>
          <w:rFonts w:ascii="Garamond" w:hAnsi="Garamond"/>
          <w:bCs/>
        </w:rPr>
        <w:t xml:space="preserve">verall, these results attest to the significance of </w:t>
      </w:r>
      <w:r w:rsidR="00E9553E">
        <w:rPr>
          <w:rFonts w:ascii="Garamond" w:hAnsi="Garamond"/>
          <w:bCs/>
        </w:rPr>
        <w:t>theory-of-mind</w:t>
      </w:r>
      <w:r>
        <w:rPr>
          <w:rFonts w:ascii="Garamond" w:hAnsi="Garamond"/>
          <w:bCs/>
        </w:rPr>
        <w:t xml:space="preserve"> in win–win denial—providing reasons for buyers’ choices, even if totally devoid of content, cues people to realize that people rarely voluntarily trade at a loss. Nonetheless, </w:t>
      </w:r>
      <w:r w:rsidR="00E9553E">
        <w:rPr>
          <w:rFonts w:ascii="Garamond" w:hAnsi="Garamond"/>
          <w:bCs/>
        </w:rPr>
        <w:t>theory-of-mind</w:t>
      </w:r>
      <w:r>
        <w:rPr>
          <w:rFonts w:ascii="Garamond" w:hAnsi="Garamond"/>
          <w:bCs/>
        </w:rPr>
        <w:t xml:space="preserve"> cannot be the whole story, since it does not predict the asymmetries that we are consistently seeing among buyers, sellers, and traders. </w:t>
      </w:r>
      <w:r w:rsidR="00E9553E">
        <w:rPr>
          <w:rFonts w:ascii="Garamond" w:hAnsi="Garamond"/>
          <w:bCs/>
        </w:rPr>
        <w:t>Theory-of-mind errors</w:t>
      </w:r>
      <w:r>
        <w:rPr>
          <w:rFonts w:ascii="Garamond" w:hAnsi="Garamond"/>
          <w:bCs/>
        </w:rPr>
        <w:t xml:space="preserve"> and intuitive mercantilism work together to produce our flawed intuitions about exchanges, and both appear to contribute to zero-sum thinking.</w:t>
      </w:r>
    </w:p>
    <w:p w14:paraId="68CB0EA4" w14:textId="7B19F2F4" w:rsidR="00500E6A" w:rsidRDefault="00500E6A" w:rsidP="00364158">
      <w:pPr>
        <w:spacing w:line="276" w:lineRule="auto"/>
        <w:jc w:val="both"/>
        <w:rPr>
          <w:rFonts w:ascii="Garamond" w:hAnsi="Garamond"/>
          <w:bCs/>
        </w:rPr>
      </w:pPr>
    </w:p>
    <w:p w14:paraId="2D8A6172" w14:textId="407890C9" w:rsidR="00CB20F4" w:rsidRDefault="00CB20F4" w:rsidP="00364158">
      <w:pPr>
        <w:spacing w:line="276" w:lineRule="auto"/>
        <w:jc w:val="both"/>
        <w:rPr>
          <w:rFonts w:ascii="Garamond" w:hAnsi="Garamond"/>
          <w:bCs/>
        </w:rPr>
      </w:pPr>
      <w:r>
        <w:rPr>
          <w:rFonts w:ascii="Garamond" w:hAnsi="Garamond"/>
          <w:b/>
        </w:rPr>
        <w:t>Study S4: Cueing Preferences</w:t>
      </w:r>
    </w:p>
    <w:p w14:paraId="6C57482F" w14:textId="6B7912C1" w:rsidR="00CB20F4" w:rsidRDefault="00CB20F4" w:rsidP="00364158">
      <w:pPr>
        <w:spacing w:line="276" w:lineRule="auto"/>
        <w:jc w:val="both"/>
        <w:rPr>
          <w:rFonts w:ascii="Garamond" w:hAnsi="Garamond"/>
          <w:bCs/>
        </w:rPr>
      </w:pPr>
    </w:p>
    <w:p w14:paraId="1ED174AB" w14:textId="6B8D5F8D" w:rsidR="00CB20F4" w:rsidRDefault="000033C2" w:rsidP="000033C2">
      <w:pPr>
        <w:spacing w:line="276" w:lineRule="auto"/>
        <w:ind w:firstLine="360"/>
        <w:jc w:val="both"/>
        <w:rPr>
          <w:rFonts w:ascii="Garamond" w:hAnsi="Garamond"/>
          <w:bCs/>
        </w:rPr>
      </w:pPr>
      <w:r>
        <w:rPr>
          <w:rFonts w:ascii="Garamond" w:hAnsi="Garamond"/>
          <w:bCs/>
        </w:rPr>
        <w:t xml:space="preserve">Study </w:t>
      </w:r>
      <w:r w:rsidR="008220C8">
        <w:rPr>
          <w:rFonts w:ascii="Garamond" w:hAnsi="Garamond"/>
          <w:bCs/>
        </w:rPr>
        <w:t xml:space="preserve">S4 further tested the theory-of-mind account by examining whether increasing the saliency of the transactors’ preferences increases the perception that the exchanges are win–win. That is, it is likely that, if asked explicitly, people would recognize that buyers preferred the good they purchased over the money they spent, while sellers prefer the money over the good. Indeed, neoclassical economics goes so far as to </w:t>
      </w:r>
      <w:r w:rsidR="008220C8">
        <w:rPr>
          <w:rFonts w:ascii="Garamond" w:hAnsi="Garamond"/>
          <w:bCs/>
          <w:i/>
          <w:iCs/>
        </w:rPr>
        <w:t xml:space="preserve">define </w:t>
      </w:r>
      <w:r w:rsidR="008220C8">
        <w:rPr>
          <w:rFonts w:ascii="Garamond" w:hAnsi="Garamond"/>
          <w:bCs/>
        </w:rPr>
        <w:t>preferences as revealed by one’s choices (Mas-</w:t>
      </w:r>
      <w:proofErr w:type="spellStart"/>
      <w:r w:rsidR="008220C8">
        <w:rPr>
          <w:rFonts w:ascii="Garamond" w:hAnsi="Garamond"/>
          <w:bCs/>
        </w:rPr>
        <w:t>Colell</w:t>
      </w:r>
      <w:proofErr w:type="spellEnd"/>
      <w:r w:rsidR="008220C8">
        <w:rPr>
          <w:rFonts w:ascii="Garamond" w:hAnsi="Garamond"/>
          <w:bCs/>
        </w:rPr>
        <w:t xml:space="preserve"> et al., 1995). Even if people do not hold this strong assumption of revealed preferences, they probably recognize that choices are typically aligned with preferences. However, from the fact that preferences were satisfied it follows logically that both parties to each exchange benefitted. Hence, cueing preferences as an intermediate step may help to circumvent theory-of-mind limits.</w:t>
      </w:r>
    </w:p>
    <w:p w14:paraId="2997A33A" w14:textId="7B516944" w:rsidR="008220C8" w:rsidRDefault="008220C8" w:rsidP="000033C2">
      <w:pPr>
        <w:spacing w:line="276" w:lineRule="auto"/>
        <w:ind w:firstLine="360"/>
        <w:jc w:val="both"/>
        <w:rPr>
          <w:rFonts w:ascii="Garamond" w:hAnsi="Garamond"/>
          <w:bCs/>
        </w:rPr>
      </w:pPr>
      <w:r>
        <w:rPr>
          <w:rFonts w:ascii="Garamond" w:hAnsi="Garamond"/>
          <w:bCs/>
        </w:rPr>
        <w:t xml:space="preserve">A second goal of Study S4 was to further rule out the concern that participants interpret the dependent variable in exclusively monetary terms. This was addressed partly in Study S1, which used </w:t>
      </w:r>
      <w:r>
        <w:rPr>
          <w:rFonts w:ascii="Garamond" w:hAnsi="Garamond"/>
          <w:bCs/>
        </w:rPr>
        <w:lastRenderedPageBreak/>
        <w:t>the phrase “benefitted” rather than “better off,” but we put this concern to rest in Study S4 by providing participants with detailed instructions about how we define “better off” and requiring participants to correctly answer a series of check questions to ensure that they can correctly apply this definition.</w:t>
      </w:r>
    </w:p>
    <w:p w14:paraId="5EF61567" w14:textId="21A00B27" w:rsidR="008220C8" w:rsidRDefault="008220C8" w:rsidP="000033C2">
      <w:pPr>
        <w:spacing w:line="276" w:lineRule="auto"/>
        <w:ind w:firstLine="360"/>
        <w:jc w:val="both"/>
        <w:rPr>
          <w:rFonts w:ascii="Garamond" w:hAnsi="Garamond"/>
          <w:bCs/>
        </w:rPr>
      </w:pPr>
    </w:p>
    <w:p w14:paraId="2D6D9246" w14:textId="10280171" w:rsidR="0038337A" w:rsidRDefault="008220C8" w:rsidP="0038337A">
      <w:pPr>
        <w:spacing w:line="276" w:lineRule="auto"/>
        <w:ind w:firstLine="360"/>
        <w:jc w:val="both"/>
        <w:rPr>
          <w:rFonts w:ascii="Garamond" w:hAnsi="Garamond"/>
          <w:bCs/>
        </w:rPr>
      </w:pPr>
      <w:r>
        <w:rPr>
          <w:rFonts w:ascii="Garamond" w:hAnsi="Garamond"/>
          <w:b/>
        </w:rPr>
        <w:t>Methods.</w:t>
      </w:r>
      <w:r>
        <w:rPr>
          <w:rFonts w:ascii="Garamond" w:hAnsi="Garamond"/>
          <w:bCs/>
        </w:rPr>
        <w:t xml:space="preserve"> We recruited 100 participants (</w:t>
      </w:r>
      <w:r>
        <w:rPr>
          <w:rFonts w:ascii="Garamond" w:hAnsi="Garamond"/>
          <w:bCs/>
          <w:i/>
        </w:rPr>
        <w:t>M</w:t>
      </w:r>
      <w:r>
        <w:rPr>
          <w:rFonts w:ascii="Garamond" w:hAnsi="Garamond"/>
          <w:bCs/>
          <w:vertAlign w:val="subscript"/>
        </w:rPr>
        <w:t>age</w:t>
      </w:r>
      <w:r>
        <w:rPr>
          <w:rFonts w:ascii="Garamond" w:hAnsi="Garamond"/>
          <w:bCs/>
        </w:rPr>
        <w:t xml:space="preserve"> = 43.5, 49% female, 58% college educated) from Mechanical Turk; </w:t>
      </w:r>
      <w:r>
        <w:rPr>
          <w:rFonts w:ascii="Garamond" w:hAnsi="Garamond"/>
        </w:rPr>
        <w:t>19 were excluded from analysis based on the criterion used in the other studies</w:t>
      </w:r>
      <w:r w:rsidR="0038337A">
        <w:rPr>
          <w:rFonts w:ascii="Garamond" w:hAnsi="Garamond"/>
        </w:rPr>
        <w:t xml:space="preserve"> (failing at least 33% of the check questions at the end of the study) or because they answered one or more of the instruction comprehension check questions incorrectly</w:t>
      </w:r>
      <w:r>
        <w:rPr>
          <w:rFonts w:ascii="Garamond" w:hAnsi="Garamond"/>
        </w:rPr>
        <w:t>.</w:t>
      </w:r>
      <w:r w:rsidR="0038337A">
        <w:rPr>
          <w:rFonts w:ascii="Garamond" w:hAnsi="Garamond"/>
        </w:rPr>
        <w:t xml:space="preserve"> </w:t>
      </w:r>
      <w:r w:rsidR="0038337A" w:rsidRPr="00E9553E">
        <w:rPr>
          <w:rFonts w:ascii="Garamond" w:hAnsi="Garamond"/>
        </w:rPr>
        <w:t xml:space="preserve">A further 12 participants were excluded who made an error on any of the preference questions (see below). Hence, all participants </w:t>
      </w:r>
      <w:r w:rsidR="00E9553E" w:rsidRPr="00E9553E">
        <w:rPr>
          <w:rFonts w:ascii="Garamond" w:hAnsi="Garamond"/>
        </w:rPr>
        <w:t xml:space="preserve">included in the final sample </w:t>
      </w:r>
      <w:r w:rsidR="0038337A" w:rsidRPr="00E9553E">
        <w:rPr>
          <w:rFonts w:ascii="Garamond" w:hAnsi="Garamond"/>
        </w:rPr>
        <w:t>acknowledged that all transactions satisfied the preferences of both parties.</w:t>
      </w:r>
      <w:r w:rsidR="00E9553E" w:rsidRPr="00E9553E">
        <w:rPr>
          <w:rFonts w:ascii="Garamond" w:hAnsi="Garamond"/>
        </w:rPr>
        <w:t xml:space="preserve"> As shown below, </w:t>
      </w:r>
      <w:r w:rsidR="00E9553E">
        <w:rPr>
          <w:rFonts w:ascii="Garamond" w:hAnsi="Garamond"/>
        </w:rPr>
        <w:t xml:space="preserve">however, </w:t>
      </w:r>
      <w:r w:rsidR="00E9553E" w:rsidRPr="00E9553E">
        <w:rPr>
          <w:rFonts w:ascii="Garamond" w:hAnsi="Garamond"/>
        </w:rPr>
        <w:t xml:space="preserve">excluding participants based on their answers to the preference questions does not </w:t>
      </w:r>
      <w:r w:rsidR="00E9553E">
        <w:rPr>
          <w:rFonts w:ascii="Garamond" w:hAnsi="Garamond"/>
        </w:rPr>
        <w:t>affect</w:t>
      </w:r>
      <w:r w:rsidR="00E9553E" w:rsidRPr="00E9553E">
        <w:rPr>
          <w:rFonts w:ascii="Garamond" w:hAnsi="Garamond"/>
        </w:rPr>
        <w:t xml:space="preserve"> the results.</w:t>
      </w:r>
    </w:p>
    <w:p w14:paraId="584311FB" w14:textId="66888FBB" w:rsidR="001824D1" w:rsidRDefault="0038337A" w:rsidP="001824D1">
      <w:pPr>
        <w:spacing w:line="276" w:lineRule="auto"/>
        <w:ind w:firstLine="360"/>
        <w:jc w:val="both"/>
        <w:rPr>
          <w:rFonts w:ascii="Garamond" w:hAnsi="Garamond"/>
          <w:bCs/>
        </w:rPr>
      </w:pPr>
      <w:r>
        <w:rPr>
          <w:rFonts w:ascii="Garamond" w:hAnsi="Garamond"/>
          <w:bCs/>
        </w:rPr>
        <w:t xml:space="preserve">The procedure was similar to Study 1, with </w:t>
      </w:r>
      <w:r w:rsidR="001824D1">
        <w:rPr>
          <w:rFonts w:ascii="Garamond" w:hAnsi="Garamond"/>
          <w:bCs/>
        </w:rPr>
        <w:t>two</w:t>
      </w:r>
      <w:r>
        <w:rPr>
          <w:rFonts w:ascii="Garamond" w:hAnsi="Garamond"/>
          <w:bCs/>
        </w:rPr>
        <w:t xml:space="preserve"> changes. First, participants were provided detailed definitions of the terms “better off” and “worse off</w:t>
      </w:r>
      <w:r w:rsidR="001824D1">
        <w:rPr>
          <w:rFonts w:ascii="Garamond" w:hAnsi="Garamond"/>
          <w:bCs/>
        </w:rPr>
        <w:t>”:</w:t>
      </w:r>
    </w:p>
    <w:p w14:paraId="0F80F53E" w14:textId="77777777" w:rsidR="001824D1" w:rsidRPr="001824D1" w:rsidRDefault="001824D1" w:rsidP="001824D1">
      <w:pPr>
        <w:spacing w:line="276" w:lineRule="auto"/>
        <w:ind w:left="360"/>
        <w:jc w:val="both"/>
        <w:rPr>
          <w:rFonts w:ascii="Garamond" w:hAnsi="Garamond"/>
          <w:sz w:val="10"/>
          <w:szCs w:val="10"/>
        </w:rPr>
      </w:pPr>
    </w:p>
    <w:p w14:paraId="7C222ABE" w14:textId="32A69DD7" w:rsidR="001824D1" w:rsidRPr="001824D1" w:rsidRDefault="001824D1" w:rsidP="001824D1">
      <w:pPr>
        <w:spacing w:line="276" w:lineRule="auto"/>
        <w:ind w:left="360"/>
        <w:jc w:val="both"/>
        <w:rPr>
          <w:rFonts w:ascii="Garamond" w:hAnsi="Garamond"/>
          <w:sz w:val="22"/>
          <w:szCs w:val="22"/>
        </w:rPr>
      </w:pPr>
      <w:r w:rsidRPr="001824D1">
        <w:rPr>
          <w:rFonts w:ascii="Garamond" w:hAnsi="Garamond"/>
          <w:sz w:val="22"/>
          <w:szCs w:val="22"/>
        </w:rPr>
        <w:t>For each transaction, you will be asked whether each participant is</w:t>
      </w:r>
      <w:r>
        <w:rPr>
          <w:rFonts w:ascii="Garamond" w:hAnsi="Garamond"/>
          <w:sz w:val="22"/>
          <w:szCs w:val="22"/>
        </w:rPr>
        <w:t xml:space="preserve"> “</w:t>
      </w:r>
      <w:r w:rsidRPr="001824D1">
        <w:rPr>
          <w:rFonts w:ascii="Garamond" w:hAnsi="Garamond"/>
          <w:sz w:val="22"/>
          <w:szCs w:val="22"/>
        </w:rPr>
        <w:t>better off,</w:t>
      </w:r>
      <w:r>
        <w:rPr>
          <w:rFonts w:ascii="Garamond" w:hAnsi="Garamond"/>
          <w:sz w:val="22"/>
          <w:szCs w:val="22"/>
        </w:rPr>
        <w:t>”</w:t>
      </w:r>
      <w:r w:rsidRPr="001824D1">
        <w:rPr>
          <w:rFonts w:ascii="Garamond" w:hAnsi="Garamond"/>
          <w:sz w:val="22"/>
          <w:szCs w:val="22"/>
        </w:rPr>
        <w:t xml:space="preserve"> </w:t>
      </w:r>
      <w:r>
        <w:rPr>
          <w:rFonts w:ascii="Garamond" w:hAnsi="Garamond"/>
          <w:sz w:val="22"/>
          <w:szCs w:val="22"/>
        </w:rPr>
        <w:t>“</w:t>
      </w:r>
      <w:r w:rsidRPr="001824D1">
        <w:rPr>
          <w:rFonts w:ascii="Garamond" w:hAnsi="Garamond"/>
          <w:sz w:val="22"/>
          <w:szCs w:val="22"/>
        </w:rPr>
        <w:t>worse off,</w:t>
      </w:r>
      <w:r>
        <w:rPr>
          <w:rFonts w:ascii="Garamond" w:hAnsi="Garamond"/>
          <w:sz w:val="22"/>
          <w:szCs w:val="22"/>
        </w:rPr>
        <w:t>”</w:t>
      </w:r>
      <w:r w:rsidRPr="001824D1">
        <w:rPr>
          <w:rFonts w:ascii="Garamond" w:hAnsi="Garamond"/>
          <w:sz w:val="22"/>
          <w:szCs w:val="22"/>
        </w:rPr>
        <w:t xml:space="preserve"> or </w:t>
      </w:r>
      <w:r>
        <w:rPr>
          <w:rFonts w:ascii="Garamond" w:hAnsi="Garamond"/>
          <w:sz w:val="22"/>
          <w:szCs w:val="22"/>
        </w:rPr>
        <w:t>“</w:t>
      </w:r>
      <w:r w:rsidRPr="001824D1">
        <w:rPr>
          <w:rFonts w:ascii="Garamond" w:hAnsi="Garamond"/>
          <w:sz w:val="22"/>
          <w:szCs w:val="22"/>
        </w:rPr>
        <w:t>the same,</w:t>
      </w:r>
      <w:r>
        <w:rPr>
          <w:rFonts w:ascii="Garamond" w:hAnsi="Garamond"/>
          <w:sz w:val="22"/>
          <w:szCs w:val="22"/>
        </w:rPr>
        <w:t>”</w:t>
      </w:r>
      <w:r w:rsidRPr="001824D1">
        <w:rPr>
          <w:rFonts w:ascii="Garamond" w:hAnsi="Garamond"/>
          <w:sz w:val="22"/>
          <w:szCs w:val="22"/>
        </w:rPr>
        <w:t xml:space="preserve"> relative to how they were before the transaction. When we use these terms, we are asking whether, all things considered, each person has benefited – in the language of economics, whether each person has increased </w:t>
      </w:r>
      <w:r>
        <w:rPr>
          <w:rFonts w:ascii="Garamond" w:hAnsi="Garamond"/>
          <w:sz w:val="22"/>
          <w:szCs w:val="22"/>
        </w:rPr>
        <w:t>“</w:t>
      </w:r>
      <w:r w:rsidRPr="001824D1">
        <w:rPr>
          <w:rFonts w:ascii="Garamond" w:hAnsi="Garamond"/>
          <w:sz w:val="22"/>
          <w:szCs w:val="22"/>
        </w:rPr>
        <w:t>utility</w:t>
      </w:r>
      <w:r>
        <w:rPr>
          <w:rFonts w:ascii="Garamond" w:hAnsi="Garamond"/>
          <w:sz w:val="22"/>
          <w:szCs w:val="22"/>
        </w:rPr>
        <w:t>”</w:t>
      </w:r>
      <w:r w:rsidRPr="001824D1">
        <w:rPr>
          <w:rFonts w:ascii="Garamond" w:hAnsi="Garamond"/>
          <w:sz w:val="22"/>
          <w:szCs w:val="22"/>
        </w:rPr>
        <w:t xml:space="preserve"> after the transaction compared to beforehand. We are using a very wide definition of </w:t>
      </w:r>
      <w:r>
        <w:rPr>
          <w:rFonts w:ascii="Garamond" w:hAnsi="Garamond"/>
          <w:sz w:val="22"/>
          <w:szCs w:val="22"/>
        </w:rPr>
        <w:t>“</w:t>
      </w:r>
      <w:r w:rsidRPr="001824D1">
        <w:rPr>
          <w:rFonts w:ascii="Garamond" w:hAnsi="Garamond"/>
          <w:sz w:val="22"/>
          <w:szCs w:val="22"/>
        </w:rPr>
        <w:t>benefit</w:t>
      </w:r>
      <w:r>
        <w:rPr>
          <w:rFonts w:ascii="Garamond" w:hAnsi="Garamond"/>
          <w:sz w:val="22"/>
          <w:szCs w:val="22"/>
        </w:rPr>
        <w:t>”</w:t>
      </w:r>
      <w:r w:rsidRPr="001824D1">
        <w:rPr>
          <w:rFonts w:ascii="Garamond" w:hAnsi="Garamond"/>
          <w:sz w:val="22"/>
          <w:szCs w:val="22"/>
        </w:rPr>
        <w:t xml:space="preserve"> or </w:t>
      </w:r>
      <w:r>
        <w:rPr>
          <w:rFonts w:ascii="Garamond" w:hAnsi="Garamond"/>
          <w:sz w:val="22"/>
          <w:szCs w:val="22"/>
        </w:rPr>
        <w:t>“</w:t>
      </w:r>
      <w:r w:rsidRPr="001824D1">
        <w:rPr>
          <w:rFonts w:ascii="Garamond" w:hAnsi="Garamond"/>
          <w:sz w:val="22"/>
          <w:szCs w:val="22"/>
        </w:rPr>
        <w:t>utility</w:t>
      </w:r>
      <w:r>
        <w:rPr>
          <w:rFonts w:ascii="Garamond" w:hAnsi="Garamond"/>
          <w:sz w:val="22"/>
          <w:szCs w:val="22"/>
        </w:rPr>
        <w:t>”</w:t>
      </w:r>
      <w:r w:rsidRPr="001824D1">
        <w:rPr>
          <w:rFonts w:ascii="Garamond" w:hAnsi="Garamond"/>
          <w:sz w:val="22"/>
          <w:szCs w:val="22"/>
        </w:rPr>
        <w:t xml:space="preserve"> that includes any monetary gains or losses and any gains or losses in convenience, health, pleasure, or any other reason a person would carry out a transaction.</w:t>
      </w:r>
    </w:p>
    <w:p w14:paraId="3F2382BE" w14:textId="505B9B06" w:rsidR="001824D1" w:rsidRPr="001824D1" w:rsidRDefault="001824D1" w:rsidP="001824D1">
      <w:pPr>
        <w:spacing w:line="276" w:lineRule="auto"/>
        <w:jc w:val="both"/>
        <w:rPr>
          <w:rFonts w:ascii="Garamond" w:hAnsi="Garamond"/>
          <w:bCs/>
          <w:sz w:val="10"/>
          <w:szCs w:val="10"/>
        </w:rPr>
      </w:pPr>
    </w:p>
    <w:p w14:paraId="65571383" w14:textId="4A0937E6" w:rsidR="001824D1" w:rsidRPr="001824D1" w:rsidRDefault="001824D1" w:rsidP="001824D1">
      <w:pPr>
        <w:spacing w:line="276" w:lineRule="auto"/>
        <w:jc w:val="both"/>
        <w:rPr>
          <w:rFonts w:ascii="Garamond" w:hAnsi="Garamond"/>
          <w:bCs/>
        </w:rPr>
      </w:pPr>
      <w:r>
        <w:rPr>
          <w:rFonts w:ascii="Garamond" w:hAnsi="Garamond"/>
          <w:bCs/>
        </w:rPr>
        <w:t xml:space="preserve">Then participants completed four sample items that were framed around chance events rather than transactions, so as not to introduce demand characteristics for the main task. These events were “George finds a $10 bill on the ground but loses a $1 bill,” “Rachel finds a $5 bill on the ground but loses a $100 bill,” “Ralph finds a $100 bill on </w:t>
      </w:r>
      <w:r w:rsidR="00F87DAE">
        <w:rPr>
          <w:rFonts w:ascii="Garamond" w:hAnsi="Garamond"/>
          <w:bCs/>
        </w:rPr>
        <w:t>the</w:t>
      </w:r>
      <w:r>
        <w:rPr>
          <w:rFonts w:ascii="Garamond" w:hAnsi="Garamond"/>
          <w:bCs/>
        </w:rPr>
        <w:t xml:space="preserve"> ground but lost a movie ticket that he would have been willing to pay $10 for,” and “Judy finds a $5 bill on the ground but lost a concert ticket that she would have been willing to pay $50 for.” For each event, participants responded as a forced-choice whether each person was made “better off,” “the same,” or “worse off.” </w:t>
      </w:r>
      <w:r w:rsidR="00F87DAE">
        <w:rPr>
          <w:rFonts w:ascii="Garamond" w:hAnsi="Garamond"/>
          <w:bCs/>
        </w:rPr>
        <w:t>Crucially, two of these items required participants to compare monetary and non-monetary utility, and in one case the correct answer was that the person was made worse-off despite gaining currency. Participants incorrectly answering any of these questions</w:t>
      </w:r>
      <w:r>
        <w:rPr>
          <w:rFonts w:ascii="Garamond" w:hAnsi="Garamond"/>
          <w:bCs/>
        </w:rPr>
        <w:t xml:space="preserve"> </w:t>
      </w:r>
      <w:r w:rsidR="00F87DAE">
        <w:rPr>
          <w:rFonts w:ascii="Garamond" w:hAnsi="Garamond"/>
          <w:bCs/>
        </w:rPr>
        <w:t>were excluded from data analysis, implementing a maximally strict standard for comprehension of the dependent variable.</w:t>
      </w:r>
    </w:p>
    <w:p w14:paraId="04987E48" w14:textId="5F2365B3" w:rsidR="0038337A" w:rsidRPr="001824D1" w:rsidRDefault="0038337A" w:rsidP="0038337A">
      <w:pPr>
        <w:spacing w:line="276" w:lineRule="auto"/>
        <w:ind w:firstLine="360"/>
        <w:jc w:val="both"/>
        <w:rPr>
          <w:rFonts w:ascii="Garamond" w:hAnsi="Garamond"/>
          <w:bCs/>
        </w:rPr>
      </w:pPr>
      <w:r>
        <w:rPr>
          <w:rFonts w:ascii="Garamond" w:hAnsi="Garamond"/>
          <w:bCs/>
        </w:rPr>
        <w:t xml:space="preserve">Second, for half of the items (in the </w:t>
      </w:r>
      <w:r>
        <w:rPr>
          <w:rFonts w:ascii="Garamond" w:hAnsi="Garamond"/>
          <w:bCs/>
          <w:i/>
          <w:iCs/>
        </w:rPr>
        <w:t>preference</w:t>
      </w:r>
      <w:r w:rsidR="001824D1">
        <w:rPr>
          <w:rFonts w:ascii="Garamond" w:hAnsi="Garamond"/>
          <w:bCs/>
          <w:i/>
          <w:iCs/>
        </w:rPr>
        <w:t>-</w:t>
      </w:r>
      <w:r>
        <w:rPr>
          <w:rFonts w:ascii="Garamond" w:hAnsi="Garamond"/>
          <w:bCs/>
          <w:i/>
          <w:iCs/>
        </w:rPr>
        <w:t xml:space="preserve">cue </w:t>
      </w:r>
      <w:r>
        <w:rPr>
          <w:rFonts w:ascii="Garamond" w:hAnsi="Garamond"/>
          <w:bCs/>
        </w:rPr>
        <w:t>condition), participants were first asked to state (as a forced-choice) the preferences of each party to each transaction. For example, for the item asking about Sally’s trip to Tony’s clothing store to buy a shirt for $30, participants were asked “Which do you think Sally preferred?” and “Which do you think Tony preferred?” as a forced-choice (“the shirt” or “$30”). Likewise, for the item asking about Tommy and Vivian’s swap of their Burger King and McDonald’s burgers, participants were asked which Tommy and Vivian preferred (“the Burger King hamburger” or “the McDonald’s hamburger</w:t>
      </w:r>
      <w:r w:rsidRPr="00E9553E">
        <w:rPr>
          <w:rFonts w:ascii="Garamond" w:hAnsi="Garamond"/>
          <w:bCs/>
        </w:rPr>
        <w:t>”). Participants were highly accurate in answering these questions</w:t>
      </w:r>
      <w:r w:rsidR="001824D1" w:rsidRPr="00E9553E">
        <w:rPr>
          <w:rFonts w:ascii="Garamond" w:hAnsi="Garamond"/>
          <w:bCs/>
        </w:rPr>
        <w:t xml:space="preserve">. Among participants who were not excluded due to errors on the instruction or memory check questions, the average number of errors on these questions was 0.35 out of 8, with all but 12 </w:t>
      </w:r>
      <w:r w:rsidR="001824D1" w:rsidRPr="00E9553E">
        <w:rPr>
          <w:rFonts w:ascii="Garamond" w:hAnsi="Garamond"/>
          <w:bCs/>
        </w:rPr>
        <w:lastRenderedPageBreak/>
        <w:t>participants answering all questions correctly.</w:t>
      </w:r>
      <w:r w:rsidR="001824D1">
        <w:rPr>
          <w:rFonts w:ascii="Garamond" w:hAnsi="Garamond"/>
          <w:bCs/>
        </w:rPr>
        <w:t xml:space="preserve"> For the other half of the items (in the </w:t>
      </w:r>
      <w:r w:rsidR="001824D1">
        <w:rPr>
          <w:rFonts w:ascii="Garamond" w:hAnsi="Garamond"/>
          <w:bCs/>
          <w:i/>
          <w:iCs/>
        </w:rPr>
        <w:t>no-cue</w:t>
      </w:r>
      <w:r w:rsidR="001824D1">
        <w:rPr>
          <w:rFonts w:ascii="Garamond" w:hAnsi="Garamond"/>
          <w:bCs/>
        </w:rPr>
        <w:t xml:space="preserve"> condition), these preference questions were omitted.</w:t>
      </w:r>
      <w:r w:rsidR="00E263A7">
        <w:rPr>
          <w:rFonts w:ascii="Garamond" w:hAnsi="Garamond"/>
          <w:bCs/>
        </w:rPr>
        <w:t xml:space="preserve"> The 4 items in each condition were blocked and the order of the two blocks was counterbalanced.</w:t>
      </w:r>
    </w:p>
    <w:p w14:paraId="240A8EDA" w14:textId="31F9CB97" w:rsidR="0038337A" w:rsidRDefault="001824D1" w:rsidP="0038337A">
      <w:pPr>
        <w:spacing w:line="276" w:lineRule="auto"/>
        <w:ind w:firstLine="360"/>
        <w:jc w:val="both"/>
        <w:rPr>
          <w:rFonts w:ascii="Garamond" w:hAnsi="Garamond"/>
          <w:bCs/>
        </w:rPr>
      </w:pPr>
      <w:r>
        <w:rPr>
          <w:rFonts w:ascii="Garamond" w:hAnsi="Garamond"/>
          <w:bCs/>
        </w:rPr>
        <w:t>Because the preference questions are difficult to phrase unambiguously for services (e.g., which did the dog groomer prefer – $45 or the time and labor associated with grooming the dog), we omitted these items to ensure that the manipulation was clear. Hence, participants in Study S4 saw the 4 monetary purchases of goods and 4 barters used in the other studies, with half of the monetary purchases and half of the barters appearing each in the preference-cue and no-cue conditions, counterbalanced across items.</w:t>
      </w:r>
    </w:p>
    <w:p w14:paraId="7A06E667" w14:textId="75C1F2C1" w:rsidR="00F87DAE" w:rsidRDefault="00F87DAE" w:rsidP="0038337A">
      <w:pPr>
        <w:spacing w:line="276" w:lineRule="auto"/>
        <w:ind w:firstLine="360"/>
        <w:jc w:val="both"/>
        <w:rPr>
          <w:rFonts w:ascii="Garamond" w:hAnsi="Garamond"/>
          <w:bCs/>
        </w:rPr>
      </w:pPr>
    </w:p>
    <w:p w14:paraId="2C8AC156" w14:textId="532B9853" w:rsidR="00F87DAE" w:rsidRDefault="00F87DAE" w:rsidP="0038337A">
      <w:pPr>
        <w:spacing w:line="276" w:lineRule="auto"/>
        <w:ind w:firstLine="360"/>
        <w:jc w:val="both"/>
        <w:rPr>
          <w:rFonts w:ascii="Garamond" w:hAnsi="Garamond"/>
          <w:bCs/>
        </w:rPr>
      </w:pPr>
      <w:r>
        <w:rPr>
          <w:rFonts w:ascii="Garamond" w:hAnsi="Garamond"/>
          <w:b/>
        </w:rPr>
        <w:t>Results.</w:t>
      </w:r>
      <w:r>
        <w:rPr>
          <w:rFonts w:ascii="Garamond" w:hAnsi="Garamond"/>
          <w:bCs/>
        </w:rPr>
        <w:t xml:space="preserve"> </w:t>
      </w:r>
      <w:r w:rsidR="00DF75AF">
        <w:rPr>
          <w:rFonts w:ascii="Garamond" w:hAnsi="Garamond"/>
          <w:bCs/>
        </w:rPr>
        <w:t>Overal</w:t>
      </w:r>
      <w:r w:rsidR="00E9553E">
        <w:rPr>
          <w:rFonts w:ascii="Garamond" w:hAnsi="Garamond"/>
          <w:bCs/>
        </w:rPr>
        <w:t>l, the no-cue condition replicates the mercantilist pattern seen in the other studies. This pattern is attenuated in the preference-cue condition, just as cueing buyers’ reasons for transactions in Studies 3 and S3 reduced win–win denial.</w:t>
      </w:r>
    </w:p>
    <w:p w14:paraId="4A7F9420" w14:textId="7154B0A1" w:rsidR="00E9553E" w:rsidRDefault="00E9553E" w:rsidP="0038337A">
      <w:pPr>
        <w:spacing w:line="276" w:lineRule="auto"/>
        <w:ind w:firstLine="360"/>
        <w:jc w:val="both"/>
        <w:rPr>
          <w:rFonts w:ascii="Garamond" w:hAnsi="Garamond"/>
          <w:bCs/>
        </w:rPr>
      </w:pPr>
      <w:r>
        <w:rPr>
          <w:noProof/>
        </w:rPr>
        <w:drawing>
          <wp:inline distT="0" distB="0" distL="0" distR="0" wp14:anchorId="5909103D" wp14:editId="4E9BD0EF">
            <wp:extent cx="5943600" cy="3700780"/>
            <wp:effectExtent l="0" t="0" r="0" b="0"/>
            <wp:docPr id="1" name="Chart 1">
              <a:extLst xmlns:a="http://schemas.openxmlformats.org/drawingml/2006/main">
                <a:ext uri="{FF2B5EF4-FFF2-40B4-BE49-F238E27FC236}">
                  <a16:creationId xmlns:a16="http://schemas.microsoft.com/office/drawing/2014/main" id="{502BC1CE-3195-094E-9769-C5371DF4BC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563FE0" w14:textId="53DD5E4E" w:rsidR="004F62AC" w:rsidRPr="004F62AC" w:rsidRDefault="004F62AC" w:rsidP="004F62AC">
      <w:pPr>
        <w:spacing w:line="276" w:lineRule="auto"/>
        <w:ind w:left="720" w:right="720"/>
        <w:jc w:val="both"/>
        <w:rPr>
          <w:rFonts w:ascii="Garamond" w:hAnsi="Garamond"/>
          <w:sz w:val="20"/>
          <w:szCs w:val="20"/>
        </w:rPr>
      </w:pPr>
      <w:r>
        <w:rPr>
          <w:rFonts w:ascii="Garamond" w:hAnsi="Garamond"/>
          <w:bCs/>
          <w:i/>
          <w:sz w:val="20"/>
          <w:szCs w:val="20"/>
        </w:rPr>
        <w:t>F</w:t>
      </w:r>
      <w:r w:rsidRPr="003E176C">
        <w:rPr>
          <w:rFonts w:ascii="Garamond" w:hAnsi="Garamond"/>
          <w:bCs/>
          <w:i/>
          <w:sz w:val="20"/>
          <w:szCs w:val="20"/>
        </w:rPr>
        <w:t xml:space="preserve">igure </w:t>
      </w:r>
      <w:r>
        <w:rPr>
          <w:rFonts w:ascii="Garamond" w:hAnsi="Garamond"/>
          <w:bCs/>
          <w:i/>
          <w:sz w:val="20"/>
          <w:szCs w:val="20"/>
        </w:rPr>
        <w:t>S4</w:t>
      </w:r>
      <w:r w:rsidRPr="003E176C">
        <w:rPr>
          <w:rFonts w:ascii="Garamond" w:hAnsi="Garamond"/>
          <w:bCs/>
          <w:sz w:val="20"/>
          <w:szCs w:val="20"/>
        </w:rPr>
        <w:t>. Proportion of transactions perceived as having negative, zero, or positive impact on buyers, sellers, and traders across no-</w:t>
      </w:r>
      <w:r>
        <w:rPr>
          <w:rFonts w:ascii="Garamond" w:hAnsi="Garamond"/>
          <w:bCs/>
          <w:sz w:val="20"/>
          <w:szCs w:val="20"/>
        </w:rPr>
        <w:t>cue</w:t>
      </w:r>
      <w:r w:rsidRPr="003E176C">
        <w:rPr>
          <w:rFonts w:ascii="Garamond" w:hAnsi="Garamond"/>
          <w:bCs/>
          <w:sz w:val="20"/>
          <w:szCs w:val="20"/>
        </w:rPr>
        <w:t xml:space="preserve"> and </w:t>
      </w:r>
      <w:r>
        <w:rPr>
          <w:rFonts w:ascii="Garamond" w:hAnsi="Garamond"/>
          <w:bCs/>
          <w:sz w:val="20"/>
          <w:szCs w:val="20"/>
        </w:rPr>
        <w:t>preference</w:t>
      </w:r>
      <w:r w:rsidRPr="003E176C">
        <w:rPr>
          <w:rFonts w:ascii="Garamond" w:hAnsi="Garamond"/>
          <w:bCs/>
          <w:sz w:val="20"/>
          <w:szCs w:val="20"/>
        </w:rPr>
        <w:t>-</w:t>
      </w:r>
      <w:r>
        <w:rPr>
          <w:rFonts w:ascii="Garamond" w:hAnsi="Garamond"/>
          <w:bCs/>
          <w:sz w:val="20"/>
          <w:szCs w:val="20"/>
        </w:rPr>
        <w:t>cue</w:t>
      </w:r>
      <w:r w:rsidRPr="003E176C">
        <w:rPr>
          <w:rFonts w:ascii="Garamond" w:hAnsi="Garamond"/>
          <w:bCs/>
          <w:sz w:val="20"/>
          <w:szCs w:val="20"/>
        </w:rPr>
        <w:t xml:space="preserve"> conditions of Study </w:t>
      </w:r>
      <w:r>
        <w:rPr>
          <w:rFonts w:ascii="Garamond" w:hAnsi="Garamond"/>
          <w:bCs/>
          <w:sz w:val="20"/>
          <w:szCs w:val="20"/>
        </w:rPr>
        <w:t>S4</w:t>
      </w:r>
      <w:r w:rsidRPr="003E176C">
        <w:rPr>
          <w:rFonts w:ascii="Garamond" w:hAnsi="Garamond"/>
          <w:bCs/>
          <w:sz w:val="20"/>
          <w:szCs w:val="20"/>
        </w:rPr>
        <w:t>.</w:t>
      </w:r>
    </w:p>
    <w:p w14:paraId="44EB64AD" w14:textId="77777777" w:rsidR="004F62AC" w:rsidRDefault="004F62AC" w:rsidP="0038337A">
      <w:pPr>
        <w:spacing w:line="276" w:lineRule="auto"/>
        <w:ind w:firstLine="360"/>
        <w:jc w:val="both"/>
        <w:rPr>
          <w:rFonts w:ascii="Garamond" w:hAnsi="Garamond"/>
          <w:bCs/>
        </w:rPr>
      </w:pPr>
    </w:p>
    <w:p w14:paraId="2B2C5049" w14:textId="21DD6153" w:rsidR="00A728D0" w:rsidRDefault="00DF75AF" w:rsidP="0038337A">
      <w:pPr>
        <w:spacing w:line="276" w:lineRule="auto"/>
        <w:ind w:firstLine="360"/>
        <w:jc w:val="both"/>
        <w:rPr>
          <w:rFonts w:ascii="Garamond" w:hAnsi="Garamond"/>
          <w:bCs/>
        </w:rPr>
      </w:pPr>
      <w:r>
        <w:rPr>
          <w:rFonts w:ascii="Garamond" w:hAnsi="Garamond"/>
          <w:bCs/>
        </w:rPr>
        <w:t xml:space="preserve">We first examine the no-cue condition, which is conceptually similar to Study 1 in the main text, except that participants were inculcated in the meaning of “better off” and “worse off.” The results were </w:t>
      </w:r>
      <w:r w:rsidR="00AC3B4F">
        <w:rPr>
          <w:rFonts w:ascii="Garamond" w:hAnsi="Garamond"/>
          <w:bCs/>
        </w:rPr>
        <w:t>very</w:t>
      </w:r>
      <w:r>
        <w:rPr>
          <w:rFonts w:ascii="Garamond" w:hAnsi="Garamond"/>
          <w:bCs/>
        </w:rPr>
        <w:t xml:space="preserve"> similar to those of Study 1. As </w:t>
      </w:r>
      <w:r w:rsidRPr="00E9553E">
        <w:rPr>
          <w:rFonts w:ascii="Garamond" w:hAnsi="Garamond"/>
          <w:bCs/>
        </w:rPr>
        <w:t>shown in Figure S4,</w:t>
      </w:r>
      <w:r>
        <w:rPr>
          <w:rFonts w:ascii="Garamond" w:hAnsi="Garamond"/>
          <w:bCs/>
        </w:rPr>
        <w:t xml:space="preserve"> </w:t>
      </w:r>
      <w:r w:rsidR="004F62AC">
        <w:rPr>
          <w:rFonts w:ascii="Garamond" w:hAnsi="Garamond"/>
          <w:bCs/>
        </w:rPr>
        <w:t xml:space="preserve">in the no-cue condition, participants </w:t>
      </w:r>
      <w:r w:rsidR="00AC3B4F">
        <w:rPr>
          <w:rFonts w:ascii="Garamond" w:hAnsi="Garamond"/>
          <w:bCs/>
        </w:rPr>
        <w:t>much more frequently claimed that buyers rather than sellers were harmed by transactions [</w:t>
      </w:r>
      <w:r w:rsidR="00AC3B4F">
        <w:rPr>
          <w:rFonts w:ascii="Garamond" w:hAnsi="Garamond"/>
          <w:bCs/>
          <w:i/>
          <w:iCs/>
        </w:rPr>
        <w:t>M</w:t>
      </w:r>
      <w:r w:rsidR="00AC3B4F">
        <w:rPr>
          <w:rFonts w:ascii="Garamond" w:hAnsi="Garamond"/>
          <w:bCs/>
        </w:rPr>
        <w:t xml:space="preserve"> = 0.83, </w:t>
      </w:r>
      <w:r w:rsidR="00AC3B4F">
        <w:rPr>
          <w:rFonts w:ascii="Garamond" w:hAnsi="Garamond"/>
          <w:bCs/>
          <w:i/>
          <w:iCs/>
        </w:rPr>
        <w:t>SD</w:t>
      </w:r>
      <w:r w:rsidR="00AC3B4F">
        <w:rPr>
          <w:rFonts w:ascii="Garamond" w:hAnsi="Garamond"/>
          <w:bCs/>
        </w:rPr>
        <w:t xml:space="preserve"> = 0.86 vs. </w:t>
      </w:r>
      <w:r w:rsidR="00AC3B4F">
        <w:rPr>
          <w:rFonts w:ascii="Garamond" w:hAnsi="Garamond"/>
          <w:bCs/>
          <w:i/>
          <w:iCs/>
        </w:rPr>
        <w:t>M</w:t>
      </w:r>
      <w:r w:rsidR="00AC3B4F">
        <w:rPr>
          <w:rFonts w:ascii="Garamond" w:hAnsi="Garamond"/>
          <w:bCs/>
        </w:rPr>
        <w:t xml:space="preserve"> = 0.04, </w:t>
      </w:r>
      <w:r w:rsidR="00AC3B4F">
        <w:rPr>
          <w:rFonts w:ascii="Garamond" w:hAnsi="Garamond"/>
          <w:bCs/>
          <w:i/>
          <w:iCs/>
        </w:rPr>
        <w:t>SD</w:t>
      </w:r>
      <w:r w:rsidR="00AC3B4F">
        <w:rPr>
          <w:rFonts w:ascii="Garamond" w:hAnsi="Garamond"/>
          <w:bCs/>
        </w:rPr>
        <w:t xml:space="preserve"> = 0.21 out of 2; </w:t>
      </w:r>
      <w:r w:rsidR="00AC3B4F">
        <w:rPr>
          <w:rFonts w:ascii="Garamond" w:hAnsi="Garamond"/>
          <w:bCs/>
          <w:i/>
          <w:iCs/>
        </w:rPr>
        <w:t>t</w:t>
      </w:r>
      <w:r w:rsidR="00AC3B4F">
        <w:rPr>
          <w:rFonts w:ascii="Garamond" w:hAnsi="Garamond"/>
          <w:bCs/>
        </w:rPr>
        <w:t xml:space="preserve">(68) = 7.45, </w:t>
      </w:r>
      <w:r w:rsidR="00AC3B4F">
        <w:rPr>
          <w:rFonts w:ascii="Garamond" w:hAnsi="Garamond"/>
          <w:bCs/>
          <w:i/>
          <w:iCs/>
        </w:rPr>
        <w:t>p</w:t>
      </w:r>
      <w:r w:rsidR="00AC3B4F">
        <w:rPr>
          <w:rFonts w:ascii="Garamond" w:hAnsi="Garamond"/>
          <w:bCs/>
        </w:rPr>
        <w:t xml:space="preserve"> &lt; .001, </w:t>
      </w:r>
      <w:r w:rsidR="00AC3B4F">
        <w:rPr>
          <w:rFonts w:ascii="Garamond" w:hAnsi="Garamond"/>
          <w:bCs/>
          <w:i/>
          <w:iCs/>
        </w:rPr>
        <w:t>d</w:t>
      </w:r>
      <w:r w:rsidR="00AC3B4F">
        <w:rPr>
          <w:rFonts w:ascii="Garamond" w:hAnsi="Garamond"/>
          <w:bCs/>
        </w:rPr>
        <w:t xml:space="preserve"> = 1.26]. This led to lower welfare scores for buyers than for sellers [</w:t>
      </w:r>
      <w:r w:rsidR="00AC3B4F">
        <w:rPr>
          <w:rFonts w:ascii="Garamond" w:hAnsi="Garamond"/>
          <w:bCs/>
          <w:i/>
          <w:iCs/>
        </w:rPr>
        <w:t>M</w:t>
      </w:r>
      <w:r w:rsidR="00AC3B4F">
        <w:rPr>
          <w:rFonts w:ascii="Garamond" w:hAnsi="Garamond"/>
          <w:bCs/>
        </w:rPr>
        <w:t xml:space="preserve"> = 0.04, </w:t>
      </w:r>
      <w:r w:rsidR="00AC3B4F">
        <w:rPr>
          <w:rFonts w:ascii="Garamond" w:hAnsi="Garamond"/>
          <w:bCs/>
          <w:i/>
          <w:iCs/>
        </w:rPr>
        <w:t>SD</w:t>
      </w:r>
      <w:r w:rsidR="00AC3B4F">
        <w:rPr>
          <w:rFonts w:ascii="Garamond" w:hAnsi="Garamond"/>
          <w:bCs/>
        </w:rPr>
        <w:t xml:space="preserve"> = 1.80 vs. </w:t>
      </w:r>
      <w:r w:rsidR="00AC3B4F">
        <w:rPr>
          <w:rFonts w:ascii="Garamond" w:hAnsi="Garamond"/>
          <w:bCs/>
          <w:i/>
          <w:iCs/>
        </w:rPr>
        <w:t>M</w:t>
      </w:r>
      <w:r w:rsidR="00AC3B4F">
        <w:rPr>
          <w:rFonts w:ascii="Garamond" w:hAnsi="Garamond"/>
          <w:bCs/>
        </w:rPr>
        <w:t xml:space="preserve"> = 1.85, </w:t>
      </w:r>
      <w:r w:rsidR="00AC3B4F">
        <w:rPr>
          <w:rFonts w:ascii="Garamond" w:hAnsi="Garamond"/>
          <w:bCs/>
          <w:i/>
          <w:iCs/>
        </w:rPr>
        <w:t>SD</w:t>
      </w:r>
      <w:r w:rsidR="00AC3B4F">
        <w:rPr>
          <w:rFonts w:ascii="Garamond" w:hAnsi="Garamond"/>
          <w:bCs/>
        </w:rPr>
        <w:t xml:space="preserve"> = 1.42; </w:t>
      </w:r>
      <w:r w:rsidR="00AC3B4F">
        <w:rPr>
          <w:rFonts w:ascii="Garamond" w:hAnsi="Garamond"/>
          <w:bCs/>
          <w:i/>
          <w:iCs/>
        </w:rPr>
        <w:t>t</w:t>
      </w:r>
      <w:r w:rsidR="00AC3B4F">
        <w:rPr>
          <w:rFonts w:ascii="Garamond" w:hAnsi="Garamond"/>
          <w:bCs/>
        </w:rPr>
        <w:t xml:space="preserve">(68) = 6.63, </w:t>
      </w:r>
      <w:r w:rsidR="00AC3B4F">
        <w:rPr>
          <w:rFonts w:ascii="Garamond" w:hAnsi="Garamond"/>
          <w:bCs/>
          <w:i/>
          <w:iCs/>
        </w:rPr>
        <w:t>p</w:t>
      </w:r>
      <w:r w:rsidR="00AC3B4F">
        <w:rPr>
          <w:rFonts w:ascii="Garamond" w:hAnsi="Garamond"/>
          <w:bCs/>
        </w:rPr>
        <w:t xml:space="preserve"> &lt; .001, </w:t>
      </w:r>
      <w:r w:rsidR="00AC3B4F">
        <w:rPr>
          <w:rFonts w:ascii="Garamond" w:hAnsi="Garamond"/>
          <w:bCs/>
          <w:i/>
          <w:iCs/>
        </w:rPr>
        <w:t>d</w:t>
      </w:r>
      <w:r w:rsidR="00AC3B4F">
        <w:rPr>
          <w:rFonts w:ascii="Garamond" w:hAnsi="Garamond"/>
          <w:bCs/>
        </w:rPr>
        <w:t xml:space="preserve"> = 1.12].</w:t>
      </w:r>
    </w:p>
    <w:p w14:paraId="00A3E0BF" w14:textId="2AAAF5C5" w:rsidR="00DF75AF" w:rsidRDefault="00A728D0" w:rsidP="0038337A">
      <w:pPr>
        <w:spacing w:line="276" w:lineRule="auto"/>
        <w:ind w:firstLine="360"/>
        <w:jc w:val="both"/>
        <w:rPr>
          <w:rFonts w:ascii="Garamond" w:hAnsi="Garamond"/>
          <w:bCs/>
        </w:rPr>
      </w:pPr>
      <w:r>
        <w:rPr>
          <w:rFonts w:ascii="Garamond" w:hAnsi="Garamond"/>
          <w:bCs/>
        </w:rPr>
        <w:lastRenderedPageBreak/>
        <w:t xml:space="preserve">To adjust for the fact that Study S4 included 4 </w:t>
      </w:r>
      <w:r w:rsidR="0001395A">
        <w:rPr>
          <w:rFonts w:ascii="Garamond" w:hAnsi="Garamond"/>
          <w:bCs/>
        </w:rPr>
        <w:t>observations</w:t>
      </w:r>
      <w:r>
        <w:rPr>
          <w:rFonts w:ascii="Garamond" w:hAnsi="Garamond"/>
          <w:bCs/>
        </w:rPr>
        <w:t xml:space="preserve"> of trader welfare in each condition (2 observations for each of 2 items) but only 2 </w:t>
      </w:r>
      <w:r w:rsidR="0001395A">
        <w:rPr>
          <w:rFonts w:ascii="Garamond" w:hAnsi="Garamond"/>
          <w:bCs/>
        </w:rPr>
        <w:t>observations</w:t>
      </w:r>
      <w:r>
        <w:rPr>
          <w:rFonts w:ascii="Garamond" w:hAnsi="Garamond"/>
          <w:bCs/>
        </w:rPr>
        <w:t xml:space="preserve"> of buyer and seller welfare in each condition (1 observation each of buyer and seller welfare for each of 2 items), we divide the counts of positive, zero, and negative welfare change for traders to create comparable measurements. </w:t>
      </w:r>
      <w:r w:rsidR="0001395A">
        <w:rPr>
          <w:rFonts w:ascii="Garamond" w:hAnsi="Garamond"/>
          <w:bCs/>
        </w:rPr>
        <w:t>P</w:t>
      </w:r>
      <w:r>
        <w:rPr>
          <w:rFonts w:ascii="Garamond" w:hAnsi="Garamond"/>
          <w:bCs/>
        </w:rPr>
        <w:t>articipants far more frequently claim</w:t>
      </w:r>
      <w:r w:rsidR="0001395A">
        <w:rPr>
          <w:rFonts w:ascii="Garamond" w:hAnsi="Garamond"/>
          <w:bCs/>
        </w:rPr>
        <w:t>ed</w:t>
      </w:r>
      <w:r>
        <w:rPr>
          <w:rFonts w:ascii="Garamond" w:hAnsi="Garamond"/>
          <w:bCs/>
        </w:rPr>
        <w:t xml:space="preserve"> that traders [</w:t>
      </w:r>
      <w:r>
        <w:rPr>
          <w:rFonts w:ascii="Garamond" w:hAnsi="Garamond"/>
          <w:bCs/>
          <w:i/>
          <w:iCs/>
        </w:rPr>
        <w:t>M</w:t>
      </w:r>
      <w:r>
        <w:rPr>
          <w:rFonts w:ascii="Garamond" w:hAnsi="Garamond"/>
          <w:bCs/>
        </w:rPr>
        <w:t xml:space="preserve"> = 0.70, </w:t>
      </w:r>
      <w:r>
        <w:rPr>
          <w:rFonts w:ascii="Garamond" w:hAnsi="Garamond"/>
          <w:bCs/>
          <w:i/>
          <w:iCs/>
        </w:rPr>
        <w:t>SD</w:t>
      </w:r>
      <w:r>
        <w:rPr>
          <w:rFonts w:ascii="Garamond" w:hAnsi="Garamond"/>
          <w:bCs/>
        </w:rPr>
        <w:t xml:space="preserve"> = 0.84 out of 2 after adjustment] experience zero change in welfare compared to buyers [</w:t>
      </w:r>
      <w:r>
        <w:rPr>
          <w:rFonts w:ascii="Garamond" w:hAnsi="Garamond"/>
          <w:bCs/>
          <w:i/>
          <w:iCs/>
        </w:rPr>
        <w:t>M</w:t>
      </w:r>
      <w:r>
        <w:rPr>
          <w:rFonts w:ascii="Garamond" w:hAnsi="Garamond"/>
          <w:bCs/>
        </w:rPr>
        <w:t xml:space="preserve"> = 0.17, </w:t>
      </w:r>
      <w:r>
        <w:rPr>
          <w:rFonts w:ascii="Garamond" w:hAnsi="Garamond"/>
          <w:bCs/>
          <w:i/>
          <w:iCs/>
        </w:rPr>
        <w:t>SD</w:t>
      </w:r>
      <w:r>
        <w:rPr>
          <w:rFonts w:ascii="Garamond" w:hAnsi="Garamond"/>
          <w:bCs/>
        </w:rPr>
        <w:t xml:space="preserve"> = 0.48 out of 2; </w:t>
      </w:r>
      <w:r>
        <w:rPr>
          <w:rFonts w:ascii="Garamond" w:hAnsi="Garamond"/>
          <w:bCs/>
          <w:i/>
          <w:iCs/>
        </w:rPr>
        <w:t>t</w:t>
      </w:r>
      <w:r>
        <w:rPr>
          <w:rFonts w:ascii="Garamond" w:hAnsi="Garamond"/>
          <w:bCs/>
        </w:rPr>
        <w:t xml:space="preserve">(68) = 5.00, </w:t>
      </w:r>
      <w:r>
        <w:rPr>
          <w:rFonts w:ascii="Garamond" w:hAnsi="Garamond"/>
          <w:bCs/>
          <w:i/>
          <w:iCs/>
        </w:rPr>
        <w:t>p</w:t>
      </w:r>
      <w:r>
        <w:rPr>
          <w:rFonts w:ascii="Garamond" w:hAnsi="Garamond"/>
          <w:bCs/>
        </w:rPr>
        <w:t xml:space="preserve"> &lt; .001, </w:t>
      </w:r>
      <w:r>
        <w:rPr>
          <w:rFonts w:ascii="Garamond" w:hAnsi="Garamond"/>
          <w:bCs/>
          <w:i/>
          <w:iCs/>
        </w:rPr>
        <w:t>d</w:t>
      </w:r>
      <w:r>
        <w:rPr>
          <w:rFonts w:ascii="Garamond" w:hAnsi="Garamond"/>
          <w:bCs/>
        </w:rPr>
        <w:t xml:space="preserve"> = 0.77] or sellers [</w:t>
      </w:r>
      <w:r>
        <w:rPr>
          <w:rFonts w:ascii="Garamond" w:hAnsi="Garamond"/>
          <w:bCs/>
          <w:i/>
          <w:iCs/>
        </w:rPr>
        <w:t>M</w:t>
      </w:r>
      <w:r>
        <w:rPr>
          <w:rFonts w:ascii="Garamond" w:hAnsi="Garamond"/>
          <w:bCs/>
        </w:rPr>
        <w:t xml:space="preserve"> = 0.07, </w:t>
      </w:r>
      <w:r>
        <w:rPr>
          <w:rFonts w:ascii="Garamond" w:hAnsi="Garamond"/>
          <w:bCs/>
          <w:i/>
          <w:iCs/>
        </w:rPr>
        <w:t>SD</w:t>
      </w:r>
      <w:r>
        <w:rPr>
          <w:rFonts w:ascii="Garamond" w:hAnsi="Garamond"/>
          <w:bCs/>
        </w:rPr>
        <w:t xml:space="preserve"> = 0.31 out of 2; </w:t>
      </w:r>
      <w:r>
        <w:rPr>
          <w:rFonts w:ascii="Garamond" w:hAnsi="Garamond"/>
          <w:bCs/>
          <w:i/>
          <w:iCs/>
        </w:rPr>
        <w:t>t</w:t>
      </w:r>
      <w:r>
        <w:rPr>
          <w:rFonts w:ascii="Garamond" w:hAnsi="Garamond"/>
          <w:bCs/>
        </w:rPr>
        <w:t xml:space="preserve">(68) = 5.70, </w:t>
      </w:r>
      <w:r>
        <w:rPr>
          <w:rFonts w:ascii="Garamond" w:hAnsi="Garamond"/>
          <w:bCs/>
          <w:i/>
          <w:iCs/>
        </w:rPr>
        <w:t>p</w:t>
      </w:r>
      <w:r>
        <w:rPr>
          <w:rFonts w:ascii="Garamond" w:hAnsi="Garamond"/>
          <w:bCs/>
        </w:rPr>
        <w:t xml:space="preserve"> &lt; .001, </w:t>
      </w:r>
      <w:r>
        <w:rPr>
          <w:rFonts w:ascii="Garamond" w:hAnsi="Garamond"/>
          <w:bCs/>
          <w:i/>
          <w:iCs/>
        </w:rPr>
        <w:t>d</w:t>
      </w:r>
      <w:r>
        <w:rPr>
          <w:rFonts w:ascii="Garamond" w:hAnsi="Garamond"/>
          <w:bCs/>
        </w:rPr>
        <w:t xml:space="preserve"> = 1.00]. This manifest</w:t>
      </w:r>
      <w:r w:rsidR="0001395A">
        <w:rPr>
          <w:rFonts w:ascii="Garamond" w:hAnsi="Garamond"/>
          <w:bCs/>
        </w:rPr>
        <w:t>ed</w:t>
      </w:r>
      <w:r>
        <w:rPr>
          <w:rFonts w:ascii="Garamond" w:hAnsi="Garamond"/>
          <w:bCs/>
        </w:rPr>
        <w:t xml:space="preserve"> in marginally lower welfare</w:t>
      </w:r>
      <w:r w:rsidR="00340936">
        <w:rPr>
          <w:rFonts w:ascii="Garamond" w:hAnsi="Garamond"/>
          <w:bCs/>
        </w:rPr>
        <w:t>-change</w:t>
      </w:r>
      <w:r>
        <w:rPr>
          <w:rFonts w:ascii="Garamond" w:hAnsi="Garamond"/>
          <w:bCs/>
        </w:rPr>
        <w:t xml:space="preserve"> scores for barters than for monetary transactions (averaging across buyers and sellers) [</w:t>
      </w:r>
      <w:r w:rsidR="0001395A">
        <w:rPr>
          <w:rFonts w:ascii="Garamond" w:hAnsi="Garamond"/>
          <w:bCs/>
          <w:i/>
          <w:iCs/>
        </w:rPr>
        <w:t>M</w:t>
      </w:r>
      <w:r w:rsidR="0001395A">
        <w:rPr>
          <w:rFonts w:ascii="Garamond" w:hAnsi="Garamond"/>
          <w:bCs/>
        </w:rPr>
        <w:t xml:space="preserve"> = 0.69, </w:t>
      </w:r>
      <w:r w:rsidR="0001395A">
        <w:rPr>
          <w:rFonts w:ascii="Garamond" w:hAnsi="Garamond"/>
          <w:bCs/>
          <w:i/>
          <w:iCs/>
        </w:rPr>
        <w:t>SD</w:t>
      </w:r>
      <w:r w:rsidR="0001395A">
        <w:rPr>
          <w:rFonts w:ascii="Garamond" w:hAnsi="Garamond"/>
          <w:bCs/>
        </w:rPr>
        <w:t xml:space="preserve"> = 1.27 vs. </w:t>
      </w:r>
      <w:r w:rsidR="0001395A">
        <w:rPr>
          <w:rFonts w:ascii="Garamond" w:hAnsi="Garamond"/>
          <w:bCs/>
          <w:i/>
          <w:iCs/>
        </w:rPr>
        <w:t>M</w:t>
      </w:r>
      <w:r w:rsidR="0001395A">
        <w:rPr>
          <w:rFonts w:ascii="Garamond" w:hAnsi="Garamond"/>
          <w:bCs/>
        </w:rPr>
        <w:t xml:space="preserve"> = 0.94, </w:t>
      </w:r>
      <w:r w:rsidR="0001395A">
        <w:rPr>
          <w:rFonts w:ascii="Garamond" w:hAnsi="Garamond"/>
          <w:bCs/>
          <w:i/>
          <w:iCs/>
        </w:rPr>
        <w:t>SD</w:t>
      </w:r>
      <w:r w:rsidR="0001395A">
        <w:rPr>
          <w:rFonts w:ascii="Garamond" w:hAnsi="Garamond"/>
          <w:bCs/>
        </w:rPr>
        <w:t xml:space="preserve"> = 1.16; </w:t>
      </w:r>
      <w:r w:rsidR="0001395A">
        <w:rPr>
          <w:rFonts w:ascii="Garamond" w:hAnsi="Garamond"/>
          <w:bCs/>
          <w:i/>
          <w:iCs/>
        </w:rPr>
        <w:t>t</w:t>
      </w:r>
      <w:r w:rsidR="0001395A">
        <w:rPr>
          <w:rFonts w:ascii="Garamond" w:hAnsi="Garamond"/>
          <w:bCs/>
        </w:rPr>
        <w:t xml:space="preserve">(68) = 1.73, </w:t>
      </w:r>
      <w:r w:rsidR="0001395A">
        <w:rPr>
          <w:rFonts w:ascii="Garamond" w:hAnsi="Garamond"/>
          <w:bCs/>
          <w:i/>
          <w:iCs/>
        </w:rPr>
        <w:t>p</w:t>
      </w:r>
      <w:r w:rsidR="0001395A">
        <w:rPr>
          <w:rFonts w:ascii="Garamond" w:hAnsi="Garamond"/>
          <w:bCs/>
        </w:rPr>
        <w:t xml:space="preserve"> = .088, </w:t>
      </w:r>
      <w:r w:rsidR="0001395A">
        <w:rPr>
          <w:rFonts w:ascii="Garamond" w:hAnsi="Garamond"/>
          <w:bCs/>
          <w:i/>
          <w:iCs/>
        </w:rPr>
        <w:t>d</w:t>
      </w:r>
      <w:r w:rsidR="0001395A">
        <w:rPr>
          <w:rFonts w:ascii="Garamond" w:hAnsi="Garamond"/>
          <w:bCs/>
        </w:rPr>
        <w:t xml:space="preserve"> = 0.20]. Thus, the mercantilist intuitions on evidence in the other studies are replicated in Study S4, even with detailed definitions of “welfare” and instruction check questions to ensure comprehension of this definition.</w:t>
      </w:r>
    </w:p>
    <w:p w14:paraId="75382611" w14:textId="01DF3EE4" w:rsidR="0001395A" w:rsidRDefault="00E263A7" w:rsidP="0038337A">
      <w:pPr>
        <w:spacing w:line="276" w:lineRule="auto"/>
        <w:ind w:firstLine="360"/>
        <w:jc w:val="both"/>
        <w:rPr>
          <w:rFonts w:ascii="Garamond" w:hAnsi="Garamond"/>
          <w:bCs/>
        </w:rPr>
      </w:pPr>
      <w:r>
        <w:rPr>
          <w:rFonts w:ascii="Garamond" w:hAnsi="Garamond"/>
          <w:bCs/>
        </w:rPr>
        <w:t>Next, we compare the preference-cue to the no-cue condition. If the preference-cue assists participants in taking the perspective of the buyers and traders, then we would expect buyers and traders to be seen as more likely to gain, and hence their welfare-change scores to be higher. We would not necessarily expect comparable effects for sellers, for the reasons given in connection with Study 3, which revealed only weak tendencies for mentalizing to increase the perceived welfare of sellers.</w:t>
      </w:r>
    </w:p>
    <w:p w14:paraId="7912BD60" w14:textId="49BAFAD2" w:rsidR="00340936" w:rsidRDefault="004F62AC" w:rsidP="0038337A">
      <w:pPr>
        <w:spacing w:line="276" w:lineRule="auto"/>
        <w:ind w:firstLine="360"/>
        <w:jc w:val="both"/>
        <w:rPr>
          <w:rFonts w:ascii="Garamond" w:hAnsi="Garamond"/>
          <w:bCs/>
        </w:rPr>
      </w:pPr>
      <w:r>
        <w:rPr>
          <w:rFonts w:ascii="Garamond" w:hAnsi="Garamond"/>
          <w:bCs/>
        </w:rPr>
        <w:t>As shown in Figure S4, t</w:t>
      </w:r>
      <w:r w:rsidR="00E263A7">
        <w:rPr>
          <w:rFonts w:ascii="Garamond" w:hAnsi="Garamond"/>
          <w:bCs/>
        </w:rPr>
        <w:t>hese predictions were borne out. In the preference-cue condition, buyers were less likely to be seen as losing [</w:t>
      </w:r>
      <w:r w:rsidR="00340936">
        <w:rPr>
          <w:rFonts w:ascii="Garamond" w:hAnsi="Garamond"/>
          <w:bCs/>
          <w:i/>
          <w:iCs/>
        </w:rPr>
        <w:t>M</w:t>
      </w:r>
      <w:r w:rsidR="00340936">
        <w:rPr>
          <w:rFonts w:ascii="Garamond" w:hAnsi="Garamond"/>
          <w:bCs/>
        </w:rPr>
        <w:t xml:space="preserve"> = 0.52, </w:t>
      </w:r>
      <w:r w:rsidR="00340936">
        <w:rPr>
          <w:rFonts w:ascii="Garamond" w:hAnsi="Garamond"/>
          <w:bCs/>
          <w:i/>
          <w:iCs/>
        </w:rPr>
        <w:t>SD</w:t>
      </w:r>
      <w:r w:rsidR="00340936">
        <w:rPr>
          <w:rFonts w:ascii="Garamond" w:hAnsi="Garamond"/>
          <w:bCs/>
        </w:rPr>
        <w:t xml:space="preserve"> = 0.78 vs. </w:t>
      </w:r>
      <w:r w:rsidR="00E263A7">
        <w:rPr>
          <w:rFonts w:ascii="Garamond" w:hAnsi="Garamond"/>
          <w:bCs/>
          <w:i/>
          <w:iCs/>
        </w:rPr>
        <w:t>M</w:t>
      </w:r>
      <w:r w:rsidR="00E263A7">
        <w:rPr>
          <w:rFonts w:ascii="Garamond" w:hAnsi="Garamond"/>
          <w:bCs/>
        </w:rPr>
        <w:t xml:space="preserve"> = 0.83, </w:t>
      </w:r>
      <w:r w:rsidR="00E263A7">
        <w:rPr>
          <w:rFonts w:ascii="Garamond" w:hAnsi="Garamond"/>
          <w:bCs/>
          <w:i/>
          <w:iCs/>
        </w:rPr>
        <w:t>SD</w:t>
      </w:r>
      <w:r w:rsidR="00E263A7">
        <w:rPr>
          <w:rFonts w:ascii="Garamond" w:hAnsi="Garamond"/>
          <w:bCs/>
        </w:rPr>
        <w:t xml:space="preserve"> = 0.86</w:t>
      </w:r>
      <w:r w:rsidR="00340936">
        <w:rPr>
          <w:rFonts w:ascii="Garamond" w:hAnsi="Garamond"/>
          <w:bCs/>
        </w:rPr>
        <w:t xml:space="preserve"> </w:t>
      </w:r>
      <w:r w:rsidR="00E263A7">
        <w:rPr>
          <w:rFonts w:ascii="Garamond" w:hAnsi="Garamond"/>
          <w:bCs/>
        </w:rPr>
        <w:t xml:space="preserve">out of 2; </w:t>
      </w:r>
      <w:r w:rsidR="00E263A7">
        <w:rPr>
          <w:rFonts w:ascii="Garamond" w:hAnsi="Garamond"/>
          <w:bCs/>
          <w:i/>
          <w:iCs/>
        </w:rPr>
        <w:t>t</w:t>
      </w:r>
      <w:r w:rsidR="00E263A7">
        <w:rPr>
          <w:rFonts w:ascii="Garamond" w:hAnsi="Garamond"/>
          <w:bCs/>
        </w:rPr>
        <w:t xml:space="preserve">(68) = 3.65, </w:t>
      </w:r>
      <w:r w:rsidR="00E263A7">
        <w:rPr>
          <w:rFonts w:ascii="Garamond" w:hAnsi="Garamond"/>
          <w:bCs/>
          <w:i/>
          <w:iCs/>
        </w:rPr>
        <w:t>p</w:t>
      </w:r>
      <w:r w:rsidR="00E263A7">
        <w:rPr>
          <w:rFonts w:ascii="Garamond" w:hAnsi="Garamond"/>
          <w:bCs/>
        </w:rPr>
        <w:t xml:space="preserve"> &lt; .001, </w:t>
      </w:r>
      <w:r w:rsidR="00E263A7">
        <w:rPr>
          <w:rFonts w:ascii="Garamond" w:hAnsi="Garamond"/>
          <w:bCs/>
          <w:i/>
          <w:iCs/>
        </w:rPr>
        <w:t>d</w:t>
      </w:r>
      <w:r w:rsidR="00E263A7">
        <w:rPr>
          <w:rFonts w:ascii="Garamond" w:hAnsi="Garamond"/>
          <w:bCs/>
        </w:rPr>
        <w:t xml:space="preserve"> = 0.37]</w:t>
      </w:r>
      <w:r w:rsidR="00340936">
        <w:rPr>
          <w:rFonts w:ascii="Garamond" w:hAnsi="Garamond"/>
          <w:bCs/>
        </w:rPr>
        <w:t xml:space="preserve"> and</w:t>
      </w:r>
      <w:r w:rsidR="00E263A7">
        <w:rPr>
          <w:rFonts w:ascii="Garamond" w:hAnsi="Garamond"/>
          <w:bCs/>
        </w:rPr>
        <w:t xml:space="preserve"> </w:t>
      </w:r>
      <w:r w:rsidR="00340936">
        <w:rPr>
          <w:rFonts w:ascii="Garamond" w:hAnsi="Garamond"/>
          <w:bCs/>
        </w:rPr>
        <w:t>traders less likely to be seen as experiencing zero change [</w:t>
      </w:r>
      <w:r w:rsidR="00340936">
        <w:rPr>
          <w:rFonts w:ascii="Garamond" w:hAnsi="Garamond"/>
          <w:bCs/>
          <w:i/>
          <w:iCs/>
        </w:rPr>
        <w:t>M</w:t>
      </w:r>
      <w:r w:rsidR="00340936">
        <w:rPr>
          <w:rFonts w:ascii="Garamond" w:hAnsi="Garamond"/>
          <w:bCs/>
        </w:rPr>
        <w:t xml:space="preserve"> = 0.94, </w:t>
      </w:r>
      <w:r w:rsidR="00340936">
        <w:rPr>
          <w:rFonts w:ascii="Garamond" w:hAnsi="Garamond"/>
          <w:bCs/>
          <w:i/>
          <w:iCs/>
        </w:rPr>
        <w:t>SD</w:t>
      </w:r>
      <w:r w:rsidR="00340936">
        <w:rPr>
          <w:rFonts w:ascii="Garamond" w:hAnsi="Garamond"/>
          <w:bCs/>
        </w:rPr>
        <w:t xml:space="preserve"> = 1.49 vs. </w:t>
      </w:r>
      <w:r w:rsidR="00340936">
        <w:rPr>
          <w:rFonts w:ascii="Garamond" w:hAnsi="Garamond"/>
          <w:bCs/>
          <w:i/>
          <w:iCs/>
        </w:rPr>
        <w:t>M</w:t>
      </w:r>
      <w:r w:rsidR="00340936">
        <w:rPr>
          <w:rFonts w:ascii="Garamond" w:hAnsi="Garamond"/>
          <w:bCs/>
        </w:rPr>
        <w:t xml:space="preserve"> = 1.41, </w:t>
      </w:r>
      <w:r w:rsidR="00340936">
        <w:rPr>
          <w:rFonts w:ascii="Garamond" w:hAnsi="Garamond"/>
          <w:bCs/>
          <w:i/>
          <w:iCs/>
        </w:rPr>
        <w:t>SD</w:t>
      </w:r>
      <w:r w:rsidR="00340936">
        <w:rPr>
          <w:rFonts w:ascii="Garamond" w:hAnsi="Garamond"/>
          <w:bCs/>
        </w:rPr>
        <w:t xml:space="preserve"> = 1.67 out of 2; </w:t>
      </w:r>
      <w:r w:rsidR="00340936">
        <w:rPr>
          <w:rFonts w:ascii="Garamond" w:hAnsi="Garamond"/>
          <w:bCs/>
          <w:i/>
          <w:iCs/>
        </w:rPr>
        <w:t>t</w:t>
      </w:r>
      <w:r w:rsidR="00340936">
        <w:rPr>
          <w:rFonts w:ascii="Garamond" w:hAnsi="Garamond"/>
          <w:bCs/>
        </w:rPr>
        <w:t xml:space="preserve">(68) = 3.33, </w:t>
      </w:r>
      <w:r w:rsidR="00340936">
        <w:rPr>
          <w:rFonts w:ascii="Garamond" w:hAnsi="Garamond"/>
          <w:bCs/>
          <w:i/>
          <w:iCs/>
        </w:rPr>
        <w:t>p</w:t>
      </w:r>
      <w:r w:rsidR="00340936">
        <w:rPr>
          <w:rFonts w:ascii="Garamond" w:hAnsi="Garamond"/>
          <w:bCs/>
        </w:rPr>
        <w:t xml:space="preserve"> = .001, </w:t>
      </w:r>
      <w:r w:rsidR="00340936">
        <w:rPr>
          <w:rFonts w:ascii="Garamond" w:hAnsi="Garamond"/>
          <w:bCs/>
          <w:i/>
          <w:iCs/>
        </w:rPr>
        <w:t>d</w:t>
      </w:r>
      <w:r w:rsidR="00340936">
        <w:rPr>
          <w:rFonts w:ascii="Garamond" w:hAnsi="Garamond"/>
          <w:bCs/>
        </w:rPr>
        <w:t xml:space="preserve"> = 0.29], but sellers equally likely to be seen as gaining [</w:t>
      </w:r>
      <w:r w:rsidR="00340936">
        <w:rPr>
          <w:rFonts w:ascii="Garamond" w:hAnsi="Garamond"/>
          <w:bCs/>
          <w:i/>
          <w:iCs/>
        </w:rPr>
        <w:t>M</w:t>
      </w:r>
      <w:r w:rsidR="00340936">
        <w:rPr>
          <w:rFonts w:ascii="Garamond" w:hAnsi="Garamond"/>
          <w:bCs/>
        </w:rPr>
        <w:t xml:space="preserve"> = 1.87, </w:t>
      </w:r>
      <w:r w:rsidR="00340936">
        <w:rPr>
          <w:rFonts w:ascii="Garamond" w:hAnsi="Garamond"/>
          <w:bCs/>
          <w:i/>
          <w:iCs/>
        </w:rPr>
        <w:t>SD</w:t>
      </w:r>
      <w:r w:rsidR="00340936">
        <w:rPr>
          <w:rFonts w:ascii="Garamond" w:hAnsi="Garamond"/>
          <w:bCs/>
        </w:rPr>
        <w:t xml:space="preserve"> = 0.45 vs. </w:t>
      </w:r>
      <w:r w:rsidR="00340936">
        <w:rPr>
          <w:rFonts w:ascii="Garamond" w:hAnsi="Garamond"/>
          <w:bCs/>
          <w:i/>
          <w:iCs/>
        </w:rPr>
        <w:t>M</w:t>
      </w:r>
      <w:r w:rsidR="00340936">
        <w:rPr>
          <w:rFonts w:ascii="Garamond" w:hAnsi="Garamond"/>
          <w:bCs/>
        </w:rPr>
        <w:t xml:space="preserve"> = 1.88, </w:t>
      </w:r>
      <w:r w:rsidR="00340936">
        <w:rPr>
          <w:rFonts w:ascii="Garamond" w:hAnsi="Garamond"/>
          <w:bCs/>
          <w:i/>
          <w:iCs/>
        </w:rPr>
        <w:t>SD</w:t>
      </w:r>
      <w:r w:rsidR="00340936">
        <w:rPr>
          <w:rFonts w:ascii="Garamond" w:hAnsi="Garamond"/>
          <w:bCs/>
        </w:rPr>
        <w:t xml:space="preserve"> = 0.37 out of 2; </w:t>
      </w:r>
      <w:r w:rsidR="00340936">
        <w:rPr>
          <w:rFonts w:ascii="Garamond" w:hAnsi="Garamond"/>
          <w:bCs/>
          <w:i/>
          <w:iCs/>
        </w:rPr>
        <w:t>t</w:t>
      </w:r>
      <w:r w:rsidR="00340936">
        <w:rPr>
          <w:rFonts w:ascii="Garamond" w:hAnsi="Garamond"/>
          <w:bCs/>
        </w:rPr>
        <w:t xml:space="preserve">(68) = 0.24, </w:t>
      </w:r>
      <w:r w:rsidR="00340936">
        <w:rPr>
          <w:rFonts w:ascii="Garamond" w:hAnsi="Garamond"/>
          <w:bCs/>
          <w:i/>
          <w:iCs/>
        </w:rPr>
        <w:t>p</w:t>
      </w:r>
      <w:r w:rsidR="00340936">
        <w:rPr>
          <w:rFonts w:ascii="Garamond" w:hAnsi="Garamond"/>
          <w:bCs/>
        </w:rPr>
        <w:t xml:space="preserve"> = .81, </w:t>
      </w:r>
      <w:r w:rsidR="00340936">
        <w:rPr>
          <w:rFonts w:ascii="Garamond" w:hAnsi="Garamond"/>
          <w:bCs/>
          <w:i/>
          <w:iCs/>
        </w:rPr>
        <w:t>d</w:t>
      </w:r>
      <w:r w:rsidR="00340936">
        <w:rPr>
          <w:rFonts w:ascii="Garamond" w:hAnsi="Garamond"/>
          <w:bCs/>
        </w:rPr>
        <w:t xml:space="preserve"> = 0.04], compared to the no-cue condition. This manifested in more positive welfare-change scores for buyers [</w:t>
      </w:r>
      <w:r w:rsidR="00340936">
        <w:rPr>
          <w:rFonts w:ascii="Garamond" w:hAnsi="Garamond"/>
          <w:bCs/>
          <w:i/>
          <w:iCs/>
        </w:rPr>
        <w:t>M</w:t>
      </w:r>
      <w:r w:rsidR="00340936">
        <w:rPr>
          <w:rFonts w:ascii="Garamond" w:hAnsi="Garamond"/>
          <w:bCs/>
        </w:rPr>
        <w:t xml:space="preserve"> = 0.59, </w:t>
      </w:r>
      <w:r w:rsidR="00340936">
        <w:rPr>
          <w:rFonts w:ascii="Garamond" w:hAnsi="Garamond"/>
          <w:bCs/>
          <w:i/>
          <w:iCs/>
        </w:rPr>
        <w:t>SD</w:t>
      </w:r>
      <w:r w:rsidR="00340936">
        <w:rPr>
          <w:rFonts w:ascii="Garamond" w:hAnsi="Garamond"/>
          <w:bCs/>
        </w:rPr>
        <w:t xml:space="preserve"> = 1.65 vs. </w:t>
      </w:r>
      <w:r w:rsidR="00340936">
        <w:rPr>
          <w:rFonts w:ascii="Garamond" w:hAnsi="Garamond"/>
          <w:bCs/>
          <w:i/>
          <w:iCs/>
        </w:rPr>
        <w:t>M</w:t>
      </w:r>
      <w:r w:rsidR="00340936">
        <w:rPr>
          <w:rFonts w:ascii="Garamond" w:hAnsi="Garamond"/>
          <w:bCs/>
        </w:rPr>
        <w:t xml:space="preserve"> = 0.04, </w:t>
      </w:r>
      <w:r w:rsidR="00340936">
        <w:rPr>
          <w:rFonts w:ascii="Garamond" w:hAnsi="Garamond"/>
          <w:bCs/>
          <w:i/>
          <w:iCs/>
        </w:rPr>
        <w:t>SD</w:t>
      </w:r>
      <w:r w:rsidR="00340936">
        <w:rPr>
          <w:rFonts w:ascii="Garamond" w:hAnsi="Garamond"/>
          <w:bCs/>
        </w:rPr>
        <w:t xml:space="preserve"> = 1.80; </w:t>
      </w:r>
      <w:r w:rsidR="00340936">
        <w:rPr>
          <w:rFonts w:ascii="Garamond" w:hAnsi="Garamond"/>
          <w:bCs/>
          <w:i/>
          <w:iCs/>
        </w:rPr>
        <w:t>t</w:t>
      </w:r>
      <w:r w:rsidR="00340936">
        <w:rPr>
          <w:rFonts w:ascii="Garamond" w:hAnsi="Garamond"/>
          <w:bCs/>
        </w:rPr>
        <w:t xml:space="preserve">(68) = 3.01, </w:t>
      </w:r>
      <w:r w:rsidR="00340936">
        <w:rPr>
          <w:rFonts w:ascii="Garamond" w:hAnsi="Garamond"/>
          <w:bCs/>
          <w:i/>
          <w:iCs/>
        </w:rPr>
        <w:t>p</w:t>
      </w:r>
      <w:r w:rsidR="00340936">
        <w:rPr>
          <w:rFonts w:ascii="Garamond" w:hAnsi="Garamond"/>
          <w:bCs/>
        </w:rPr>
        <w:t xml:space="preserve"> = .004, </w:t>
      </w:r>
      <w:r w:rsidR="00340936">
        <w:rPr>
          <w:rFonts w:ascii="Garamond" w:hAnsi="Garamond"/>
          <w:bCs/>
          <w:i/>
          <w:iCs/>
        </w:rPr>
        <w:t>d</w:t>
      </w:r>
      <w:r w:rsidR="00340936">
        <w:rPr>
          <w:rFonts w:ascii="Garamond" w:hAnsi="Garamond"/>
          <w:bCs/>
        </w:rPr>
        <w:t xml:space="preserve"> = 0.32] and traders [</w:t>
      </w:r>
      <w:r w:rsidR="00340936">
        <w:rPr>
          <w:rFonts w:ascii="Garamond" w:hAnsi="Garamond"/>
          <w:bCs/>
          <w:i/>
          <w:iCs/>
        </w:rPr>
        <w:t>M</w:t>
      </w:r>
      <w:r w:rsidR="00340936">
        <w:rPr>
          <w:rFonts w:ascii="Garamond" w:hAnsi="Garamond"/>
          <w:bCs/>
        </w:rPr>
        <w:t xml:space="preserve"> = 1.20, </w:t>
      </w:r>
      <w:r w:rsidR="00340936">
        <w:rPr>
          <w:rFonts w:ascii="Garamond" w:hAnsi="Garamond"/>
          <w:bCs/>
          <w:i/>
          <w:iCs/>
        </w:rPr>
        <w:t>SD</w:t>
      </w:r>
      <w:r w:rsidR="00340936">
        <w:rPr>
          <w:rFonts w:ascii="Garamond" w:hAnsi="Garamond"/>
          <w:bCs/>
        </w:rPr>
        <w:t xml:space="preserve"> = 1.63 vs. </w:t>
      </w:r>
      <w:r w:rsidR="00340936">
        <w:rPr>
          <w:rFonts w:ascii="Garamond" w:hAnsi="Garamond"/>
          <w:bCs/>
          <w:i/>
          <w:iCs/>
        </w:rPr>
        <w:t>M</w:t>
      </w:r>
      <w:r w:rsidR="00340936">
        <w:rPr>
          <w:rFonts w:ascii="Garamond" w:hAnsi="Garamond"/>
          <w:bCs/>
        </w:rPr>
        <w:t xml:space="preserve"> = 0.69, </w:t>
      </w:r>
      <w:r w:rsidR="00340936">
        <w:rPr>
          <w:rFonts w:ascii="Garamond" w:hAnsi="Garamond"/>
          <w:bCs/>
          <w:i/>
          <w:iCs/>
        </w:rPr>
        <w:t>SD</w:t>
      </w:r>
      <w:r w:rsidR="00340936">
        <w:rPr>
          <w:rFonts w:ascii="Garamond" w:hAnsi="Garamond"/>
          <w:bCs/>
        </w:rPr>
        <w:t xml:space="preserve"> = 1.27; </w:t>
      </w:r>
      <w:r w:rsidR="00340936">
        <w:rPr>
          <w:rFonts w:ascii="Garamond" w:hAnsi="Garamond"/>
          <w:bCs/>
          <w:i/>
          <w:iCs/>
        </w:rPr>
        <w:t>t</w:t>
      </w:r>
      <w:r w:rsidR="00340936">
        <w:rPr>
          <w:rFonts w:ascii="Garamond" w:hAnsi="Garamond"/>
          <w:bCs/>
        </w:rPr>
        <w:t xml:space="preserve">(68) = 4.03, </w:t>
      </w:r>
      <w:r w:rsidR="00340936">
        <w:rPr>
          <w:rFonts w:ascii="Garamond" w:hAnsi="Garamond"/>
          <w:bCs/>
          <w:i/>
          <w:iCs/>
        </w:rPr>
        <w:t>p</w:t>
      </w:r>
      <w:r w:rsidR="00340936">
        <w:rPr>
          <w:rFonts w:ascii="Garamond" w:hAnsi="Garamond"/>
          <w:bCs/>
        </w:rPr>
        <w:t xml:space="preserve"> &lt; .001, </w:t>
      </w:r>
      <w:r w:rsidR="00340936">
        <w:rPr>
          <w:rFonts w:ascii="Garamond" w:hAnsi="Garamond"/>
          <w:bCs/>
          <w:i/>
          <w:iCs/>
        </w:rPr>
        <w:t>d</w:t>
      </w:r>
      <w:r w:rsidR="00340936">
        <w:rPr>
          <w:rFonts w:ascii="Garamond" w:hAnsi="Garamond"/>
          <w:bCs/>
        </w:rPr>
        <w:t xml:space="preserve"> = 0.34], but not sellers [</w:t>
      </w:r>
      <w:r w:rsidR="00340936">
        <w:rPr>
          <w:rFonts w:ascii="Garamond" w:hAnsi="Garamond"/>
          <w:bCs/>
          <w:i/>
          <w:iCs/>
        </w:rPr>
        <w:t>M</w:t>
      </w:r>
      <w:r w:rsidR="00340936">
        <w:rPr>
          <w:rFonts w:ascii="Garamond" w:hAnsi="Garamond"/>
          <w:bCs/>
        </w:rPr>
        <w:t xml:space="preserve"> = 1.79, </w:t>
      </w:r>
      <w:r w:rsidR="00340936">
        <w:rPr>
          <w:rFonts w:ascii="Garamond" w:hAnsi="Garamond"/>
          <w:bCs/>
          <w:i/>
          <w:iCs/>
        </w:rPr>
        <w:t>SD</w:t>
      </w:r>
      <w:r w:rsidR="00340936">
        <w:rPr>
          <w:rFonts w:ascii="Garamond" w:hAnsi="Garamond"/>
          <w:bCs/>
        </w:rPr>
        <w:t xml:space="preserve"> = 1.43 vs. </w:t>
      </w:r>
      <w:r w:rsidR="00340936">
        <w:rPr>
          <w:rFonts w:ascii="Garamond" w:hAnsi="Garamond"/>
          <w:bCs/>
          <w:i/>
          <w:iCs/>
        </w:rPr>
        <w:t>M</w:t>
      </w:r>
      <w:r w:rsidR="00340936">
        <w:rPr>
          <w:rFonts w:ascii="Garamond" w:hAnsi="Garamond"/>
          <w:bCs/>
        </w:rPr>
        <w:t xml:space="preserve"> = 1.85, </w:t>
      </w:r>
      <w:r w:rsidR="00340936">
        <w:rPr>
          <w:rFonts w:ascii="Garamond" w:hAnsi="Garamond"/>
          <w:bCs/>
          <w:i/>
          <w:iCs/>
        </w:rPr>
        <w:t>SD</w:t>
      </w:r>
      <w:r w:rsidR="00340936">
        <w:rPr>
          <w:rFonts w:ascii="Garamond" w:hAnsi="Garamond"/>
          <w:bCs/>
        </w:rPr>
        <w:t xml:space="preserve"> = 1.42; </w:t>
      </w:r>
      <w:r w:rsidR="00340936">
        <w:rPr>
          <w:rFonts w:ascii="Garamond" w:hAnsi="Garamond"/>
          <w:bCs/>
          <w:i/>
          <w:iCs/>
        </w:rPr>
        <w:t>t</w:t>
      </w:r>
      <w:r w:rsidR="00340936">
        <w:rPr>
          <w:rFonts w:ascii="Garamond" w:hAnsi="Garamond"/>
          <w:bCs/>
        </w:rPr>
        <w:t xml:space="preserve">(68) = –0.30, </w:t>
      </w:r>
      <w:r w:rsidR="00340936">
        <w:rPr>
          <w:rFonts w:ascii="Garamond" w:hAnsi="Garamond"/>
          <w:bCs/>
          <w:i/>
          <w:iCs/>
        </w:rPr>
        <w:t>p</w:t>
      </w:r>
      <w:r w:rsidR="00340936">
        <w:rPr>
          <w:rFonts w:ascii="Garamond" w:hAnsi="Garamond"/>
          <w:bCs/>
        </w:rPr>
        <w:t xml:space="preserve"> = .77, </w:t>
      </w:r>
      <w:r w:rsidR="00340936">
        <w:rPr>
          <w:rFonts w:ascii="Garamond" w:hAnsi="Garamond"/>
          <w:bCs/>
          <w:i/>
          <w:iCs/>
        </w:rPr>
        <w:t>d</w:t>
      </w:r>
      <w:r w:rsidR="00340936">
        <w:rPr>
          <w:rFonts w:ascii="Garamond" w:hAnsi="Garamond"/>
          <w:bCs/>
        </w:rPr>
        <w:t xml:space="preserve"> = –0.04].</w:t>
      </w:r>
    </w:p>
    <w:p w14:paraId="45D24EF4" w14:textId="219BEA91" w:rsidR="00CB20F4" w:rsidRDefault="00340936" w:rsidP="00E9553E">
      <w:pPr>
        <w:spacing w:line="276" w:lineRule="auto"/>
        <w:ind w:firstLine="360"/>
        <w:jc w:val="both"/>
        <w:rPr>
          <w:rFonts w:ascii="Garamond" w:hAnsi="Garamond"/>
          <w:bCs/>
        </w:rPr>
      </w:pPr>
      <w:r>
        <w:rPr>
          <w:rFonts w:ascii="Garamond" w:hAnsi="Garamond"/>
          <w:bCs/>
        </w:rPr>
        <w:t xml:space="preserve">Plausibly, one might be concerned that excluding participants who made any errors on the preference questions could lead to a differential attrition problem that would bias the results in favor of more positive scores in the preference-cue condition. That is, since the preference questions were only asked in the preference-cue condition, one could argue that we selectively eliminated participants who had particularly negative views of the </w:t>
      </w:r>
      <w:r w:rsidR="00E9553E">
        <w:rPr>
          <w:rFonts w:ascii="Garamond" w:hAnsi="Garamond"/>
          <w:bCs/>
        </w:rPr>
        <w:t>transactions in that condition. Hence, we repeated all analyses adding back in the participants who were eliminated due to their answers to these questions (</w:t>
      </w:r>
      <w:r w:rsidR="00E9553E">
        <w:rPr>
          <w:rFonts w:ascii="Garamond" w:hAnsi="Garamond"/>
          <w:bCs/>
          <w:i/>
          <w:iCs/>
        </w:rPr>
        <w:t>N</w:t>
      </w:r>
      <w:r w:rsidR="00E9553E">
        <w:rPr>
          <w:rFonts w:ascii="Garamond" w:hAnsi="Garamond"/>
          <w:bCs/>
        </w:rPr>
        <w:t xml:space="preserve"> = 12). The results were very similar. In the preference-cue condition, buyers were less likely to be seen as losing [</w:t>
      </w:r>
      <w:r w:rsidR="00E9553E">
        <w:rPr>
          <w:rFonts w:ascii="Garamond" w:hAnsi="Garamond"/>
          <w:bCs/>
          <w:i/>
          <w:iCs/>
        </w:rPr>
        <w:t>t</w:t>
      </w:r>
      <w:r w:rsidR="00E9553E">
        <w:rPr>
          <w:rFonts w:ascii="Garamond" w:hAnsi="Garamond"/>
          <w:bCs/>
        </w:rPr>
        <w:t xml:space="preserve">(80) = 3.79, </w:t>
      </w:r>
      <w:r w:rsidR="00E9553E">
        <w:rPr>
          <w:rFonts w:ascii="Garamond" w:hAnsi="Garamond"/>
          <w:bCs/>
          <w:i/>
          <w:iCs/>
        </w:rPr>
        <w:t>p</w:t>
      </w:r>
      <w:r w:rsidR="00E9553E">
        <w:rPr>
          <w:rFonts w:ascii="Garamond" w:hAnsi="Garamond"/>
          <w:bCs/>
        </w:rPr>
        <w:t xml:space="preserve"> &lt; .001, </w:t>
      </w:r>
      <w:r w:rsidR="00E9553E">
        <w:rPr>
          <w:rFonts w:ascii="Garamond" w:hAnsi="Garamond"/>
          <w:bCs/>
          <w:i/>
          <w:iCs/>
        </w:rPr>
        <w:t>d</w:t>
      </w:r>
      <w:r w:rsidR="00E9553E">
        <w:rPr>
          <w:rFonts w:ascii="Garamond" w:hAnsi="Garamond"/>
          <w:bCs/>
        </w:rPr>
        <w:t xml:space="preserve"> = 0.36] and traders less likely to be seen as experiencing zero change [</w:t>
      </w:r>
      <w:r w:rsidR="00E9553E">
        <w:rPr>
          <w:rFonts w:ascii="Garamond" w:hAnsi="Garamond"/>
          <w:bCs/>
          <w:i/>
          <w:iCs/>
        </w:rPr>
        <w:t>t</w:t>
      </w:r>
      <w:r w:rsidR="00E9553E">
        <w:rPr>
          <w:rFonts w:ascii="Garamond" w:hAnsi="Garamond"/>
          <w:bCs/>
        </w:rPr>
        <w:t xml:space="preserve">(80) = 3.29, </w:t>
      </w:r>
      <w:r w:rsidR="00E9553E">
        <w:rPr>
          <w:rFonts w:ascii="Garamond" w:hAnsi="Garamond"/>
          <w:bCs/>
          <w:i/>
          <w:iCs/>
        </w:rPr>
        <w:t>p</w:t>
      </w:r>
      <w:r w:rsidR="00E9553E">
        <w:rPr>
          <w:rFonts w:ascii="Garamond" w:hAnsi="Garamond"/>
          <w:bCs/>
        </w:rPr>
        <w:t xml:space="preserve"> = .001, </w:t>
      </w:r>
      <w:r w:rsidR="00E9553E">
        <w:rPr>
          <w:rFonts w:ascii="Garamond" w:hAnsi="Garamond"/>
          <w:bCs/>
          <w:i/>
          <w:iCs/>
        </w:rPr>
        <w:t>d</w:t>
      </w:r>
      <w:r w:rsidR="00E9553E">
        <w:rPr>
          <w:rFonts w:ascii="Garamond" w:hAnsi="Garamond"/>
          <w:bCs/>
        </w:rPr>
        <w:t xml:space="preserve"> = 0.25], but sellers no less likely to be seen as gaining [</w:t>
      </w:r>
      <w:r w:rsidR="00E9553E">
        <w:rPr>
          <w:rFonts w:ascii="Garamond" w:hAnsi="Garamond"/>
          <w:bCs/>
          <w:i/>
          <w:iCs/>
        </w:rPr>
        <w:t>t</w:t>
      </w:r>
      <w:r w:rsidR="00E9553E">
        <w:rPr>
          <w:rFonts w:ascii="Garamond" w:hAnsi="Garamond"/>
          <w:bCs/>
        </w:rPr>
        <w:t xml:space="preserve">(80) = 0.00, </w:t>
      </w:r>
      <w:r w:rsidR="00E9553E">
        <w:rPr>
          <w:rFonts w:ascii="Garamond" w:hAnsi="Garamond"/>
          <w:bCs/>
          <w:i/>
          <w:iCs/>
        </w:rPr>
        <w:t>p</w:t>
      </w:r>
      <w:r w:rsidR="00E9553E">
        <w:rPr>
          <w:rFonts w:ascii="Garamond" w:hAnsi="Garamond"/>
          <w:bCs/>
        </w:rPr>
        <w:t xml:space="preserve"> = 1.00, </w:t>
      </w:r>
      <w:r w:rsidR="00E9553E">
        <w:rPr>
          <w:rFonts w:ascii="Garamond" w:hAnsi="Garamond"/>
          <w:bCs/>
          <w:i/>
          <w:iCs/>
        </w:rPr>
        <w:t>d</w:t>
      </w:r>
      <w:r w:rsidR="00E9553E">
        <w:rPr>
          <w:rFonts w:ascii="Garamond" w:hAnsi="Garamond"/>
          <w:bCs/>
        </w:rPr>
        <w:t xml:space="preserve"> = 0.00]. Once again this resulted in more positive welfare-change scores for buyers [</w:t>
      </w:r>
      <w:r w:rsidR="00E9553E">
        <w:rPr>
          <w:rFonts w:ascii="Garamond" w:hAnsi="Garamond"/>
          <w:bCs/>
          <w:i/>
          <w:iCs/>
        </w:rPr>
        <w:t>t</w:t>
      </w:r>
      <w:r w:rsidR="00E9553E">
        <w:rPr>
          <w:rFonts w:ascii="Garamond" w:hAnsi="Garamond"/>
          <w:bCs/>
        </w:rPr>
        <w:t xml:space="preserve">(80) = 3.43, </w:t>
      </w:r>
      <w:r w:rsidR="00E9553E">
        <w:rPr>
          <w:rFonts w:ascii="Garamond" w:hAnsi="Garamond"/>
          <w:bCs/>
          <w:i/>
          <w:iCs/>
        </w:rPr>
        <w:t>p</w:t>
      </w:r>
      <w:r w:rsidR="00E9553E">
        <w:rPr>
          <w:rFonts w:ascii="Garamond" w:hAnsi="Garamond"/>
          <w:bCs/>
        </w:rPr>
        <w:t xml:space="preserve"> &lt; .001, </w:t>
      </w:r>
      <w:r w:rsidR="00E9553E">
        <w:rPr>
          <w:rFonts w:ascii="Garamond" w:hAnsi="Garamond"/>
          <w:bCs/>
          <w:i/>
          <w:iCs/>
        </w:rPr>
        <w:t>d</w:t>
      </w:r>
      <w:r w:rsidR="00E9553E">
        <w:rPr>
          <w:rFonts w:ascii="Garamond" w:hAnsi="Garamond"/>
          <w:bCs/>
        </w:rPr>
        <w:t xml:space="preserve"> = 0.34] and traders [</w:t>
      </w:r>
      <w:r w:rsidR="00E9553E">
        <w:rPr>
          <w:rFonts w:ascii="Garamond" w:hAnsi="Garamond"/>
          <w:bCs/>
          <w:i/>
          <w:iCs/>
        </w:rPr>
        <w:t>t</w:t>
      </w:r>
      <w:r w:rsidR="00E9553E">
        <w:rPr>
          <w:rFonts w:ascii="Garamond" w:hAnsi="Garamond"/>
          <w:bCs/>
        </w:rPr>
        <w:t xml:space="preserve">(80) = 4.04, </w:t>
      </w:r>
      <w:r w:rsidR="00E9553E">
        <w:rPr>
          <w:rFonts w:ascii="Garamond" w:hAnsi="Garamond"/>
          <w:bCs/>
          <w:i/>
          <w:iCs/>
        </w:rPr>
        <w:t>p</w:t>
      </w:r>
      <w:r w:rsidR="00E9553E">
        <w:rPr>
          <w:rFonts w:ascii="Garamond" w:hAnsi="Garamond"/>
          <w:bCs/>
        </w:rPr>
        <w:t xml:space="preserve"> &lt; .001, </w:t>
      </w:r>
      <w:r w:rsidR="00E9553E">
        <w:rPr>
          <w:rFonts w:ascii="Garamond" w:hAnsi="Garamond"/>
          <w:bCs/>
          <w:i/>
          <w:iCs/>
        </w:rPr>
        <w:t>d</w:t>
      </w:r>
      <w:r w:rsidR="00E9553E">
        <w:rPr>
          <w:rFonts w:ascii="Garamond" w:hAnsi="Garamond"/>
          <w:bCs/>
        </w:rPr>
        <w:t xml:space="preserve"> = 0.31] but not sellers [</w:t>
      </w:r>
      <w:r w:rsidR="00E9553E">
        <w:rPr>
          <w:rFonts w:ascii="Garamond" w:hAnsi="Garamond"/>
          <w:bCs/>
          <w:i/>
          <w:iCs/>
        </w:rPr>
        <w:t>t</w:t>
      </w:r>
      <w:r w:rsidR="00E9553E">
        <w:rPr>
          <w:rFonts w:ascii="Garamond" w:hAnsi="Garamond"/>
          <w:bCs/>
        </w:rPr>
        <w:t xml:space="preserve">(80) = 0.44, </w:t>
      </w:r>
      <w:r w:rsidR="00E9553E">
        <w:rPr>
          <w:rFonts w:ascii="Garamond" w:hAnsi="Garamond"/>
          <w:bCs/>
          <w:i/>
          <w:iCs/>
        </w:rPr>
        <w:t>p</w:t>
      </w:r>
      <w:r w:rsidR="00E9553E">
        <w:rPr>
          <w:rFonts w:ascii="Garamond" w:hAnsi="Garamond"/>
          <w:bCs/>
        </w:rPr>
        <w:t xml:space="preserve"> = .66, </w:t>
      </w:r>
      <w:r w:rsidR="00E9553E">
        <w:rPr>
          <w:rFonts w:ascii="Garamond" w:hAnsi="Garamond"/>
          <w:bCs/>
          <w:i/>
          <w:iCs/>
        </w:rPr>
        <w:t>d</w:t>
      </w:r>
      <w:r w:rsidR="00E9553E">
        <w:rPr>
          <w:rFonts w:ascii="Garamond" w:hAnsi="Garamond"/>
          <w:bCs/>
        </w:rPr>
        <w:t xml:space="preserve"> = 0.06].</w:t>
      </w:r>
    </w:p>
    <w:p w14:paraId="75826F1A" w14:textId="0A1FE29D" w:rsidR="00BF3A79" w:rsidRPr="0085071A" w:rsidRDefault="00B57C28" w:rsidP="00E9553E">
      <w:pPr>
        <w:spacing w:line="276" w:lineRule="auto"/>
        <w:ind w:firstLine="360"/>
        <w:jc w:val="both"/>
        <w:rPr>
          <w:rFonts w:ascii="Garamond" w:hAnsi="Garamond"/>
          <w:bCs/>
        </w:rPr>
      </w:pPr>
      <w:r>
        <w:rPr>
          <w:rFonts w:ascii="Garamond" w:hAnsi="Garamond"/>
          <w:bCs/>
        </w:rPr>
        <w:t>Potentially</w:t>
      </w:r>
      <w:r w:rsidR="0085071A">
        <w:rPr>
          <w:rFonts w:ascii="Garamond" w:hAnsi="Garamond"/>
          <w:bCs/>
        </w:rPr>
        <w:t xml:space="preserve"> we might see carry-over effects from one part of the experiment to the next. That is, participants may be more prone to seeing transactions as win–win even in the no-cue condition, if this condition had been preceded by the preference-cue condition. However, the extent to which buyers were seen as losing, sellers as winning, and traders as experiencing zero-change did not differ across </w:t>
      </w:r>
      <w:r w:rsidR="0085071A">
        <w:rPr>
          <w:rFonts w:ascii="Garamond" w:hAnsi="Garamond"/>
          <w:bCs/>
        </w:rPr>
        <w:lastRenderedPageBreak/>
        <w:t>the two orders (</w:t>
      </w:r>
      <w:proofErr w:type="spellStart"/>
      <w:r w:rsidR="0085071A">
        <w:rPr>
          <w:rFonts w:ascii="Garamond" w:hAnsi="Garamond"/>
          <w:bCs/>
          <w:i/>
          <w:iCs/>
        </w:rPr>
        <w:t>t</w:t>
      </w:r>
      <w:r w:rsidR="0085071A">
        <w:rPr>
          <w:rFonts w:ascii="Garamond" w:hAnsi="Garamond"/>
          <w:bCs/>
        </w:rPr>
        <w:t>s</w:t>
      </w:r>
      <w:proofErr w:type="spellEnd"/>
      <w:r w:rsidR="0085071A">
        <w:rPr>
          <w:rFonts w:ascii="Garamond" w:hAnsi="Garamond"/>
          <w:bCs/>
        </w:rPr>
        <w:t xml:space="preserve"> &lt; 1.2, </w:t>
      </w:r>
      <w:proofErr w:type="spellStart"/>
      <w:r w:rsidR="0085071A">
        <w:rPr>
          <w:rFonts w:ascii="Garamond" w:hAnsi="Garamond"/>
          <w:bCs/>
          <w:i/>
          <w:iCs/>
        </w:rPr>
        <w:t>p</w:t>
      </w:r>
      <w:r w:rsidR="0085071A">
        <w:rPr>
          <w:rFonts w:ascii="Garamond" w:hAnsi="Garamond"/>
          <w:bCs/>
        </w:rPr>
        <w:t>s</w:t>
      </w:r>
      <w:proofErr w:type="spellEnd"/>
      <w:r w:rsidR="0085071A">
        <w:rPr>
          <w:rFonts w:ascii="Garamond" w:hAnsi="Garamond"/>
          <w:bCs/>
        </w:rPr>
        <w:t xml:space="preserve"> &gt; .27), nor did the mean welfare-change scores for buyers, sellers, or traders (</w:t>
      </w:r>
      <w:proofErr w:type="spellStart"/>
      <w:r w:rsidR="0085071A">
        <w:rPr>
          <w:rFonts w:ascii="Garamond" w:hAnsi="Garamond"/>
          <w:bCs/>
          <w:i/>
          <w:iCs/>
        </w:rPr>
        <w:t>t</w:t>
      </w:r>
      <w:r w:rsidR="0085071A">
        <w:rPr>
          <w:rFonts w:ascii="Garamond" w:hAnsi="Garamond"/>
          <w:bCs/>
        </w:rPr>
        <w:t>s</w:t>
      </w:r>
      <w:proofErr w:type="spellEnd"/>
      <w:r w:rsidR="0085071A">
        <w:rPr>
          <w:rFonts w:ascii="Garamond" w:hAnsi="Garamond"/>
          <w:bCs/>
        </w:rPr>
        <w:t xml:space="preserve"> &lt; 1.7, </w:t>
      </w:r>
      <w:proofErr w:type="spellStart"/>
      <w:r w:rsidR="0085071A">
        <w:rPr>
          <w:rFonts w:ascii="Garamond" w:hAnsi="Garamond"/>
          <w:bCs/>
          <w:i/>
          <w:iCs/>
        </w:rPr>
        <w:t>p</w:t>
      </w:r>
      <w:r w:rsidR="0085071A">
        <w:rPr>
          <w:rFonts w:ascii="Garamond" w:hAnsi="Garamond"/>
          <w:bCs/>
        </w:rPr>
        <w:t>s</w:t>
      </w:r>
      <w:proofErr w:type="spellEnd"/>
      <w:r w:rsidR="0085071A">
        <w:rPr>
          <w:rFonts w:ascii="Garamond" w:hAnsi="Garamond"/>
          <w:bCs/>
        </w:rPr>
        <w:t xml:space="preserve"> &gt; .10).</w:t>
      </w:r>
    </w:p>
    <w:p w14:paraId="6B3AABAC" w14:textId="77777777" w:rsidR="00FF1830" w:rsidRDefault="00FF1830" w:rsidP="00E9553E">
      <w:pPr>
        <w:spacing w:line="276" w:lineRule="auto"/>
        <w:ind w:firstLine="360"/>
        <w:jc w:val="both"/>
        <w:rPr>
          <w:rFonts w:ascii="Garamond" w:hAnsi="Garamond"/>
          <w:bCs/>
        </w:rPr>
      </w:pPr>
    </w:p>
    <w:p w14:paraId="51BD1466" w14:textId="7FB11BF0" w:rsidR="00BF3A79" w:rsidRPr="00BF3A79" w:rsidRDefault="00BF3A79" w:rsidP="00BF3A79">
      <w:pPr>
        <w:spacing w:line="276" w:lineRule="auto"/>
        <w:ind w:firstLine="360"/>
        <w:jc w:val="both"/>
        <w:rPr>
          <w:rFonts w:ascii="Garamond" w:hAnsi="Garamond"/>
          <w:bCs/>
        </w:rPr>
      </w:pPr>
      <w:r>
        <w:rPr>
          <w:rFonts w:ascii="Garamond" w:hAnsi="Garamond"/>
          <w:b/>
        </w:rPr>
        <w:t>Discussion.</w:t>
      </w:r>
      <w:r>
        <w:rPr>
          <w:rFonts w:ascii="Garamond" w:hAnsi="Garamond"/>
          <w:bCs/>
        </w:rPr>
        <w:t xml:space="preserve"> Study S4 supports three conclusions. First, participants rarely claimed that the buyers or traders did not prefer the item that they in fact received, suggesting that our minds make a strong intuitive link between preferences and choices. This cuts somewhat against the interpretation that participants believe the buyers or traders are irrational or deceived by the other party. Second, despite detailed instructions and comprehension checks about the definitions of “better off” and “worse off,” participants in the no-cue condition showed similar mercantilist patterns as in the other studies. Third, these mercantilist intuitions were weaker in the preference-cue condition, supporting the idea that theory-of-mind limitations contribute to win–win denial.</w:t>
      </w:r>
    </w:p>
    <w:p w14:paraId="06DB0780" w14:textId="77777777" w:rsidR="00DF75AF" w:rsidRDefault="00DF75AF" w:rsidP="00364158">
      <w:pPr>
        <w:spacing w:line="276" w:lineRule="auto"/>
        <w:jc w:val="both"/>
        <w:rPr>
          <w:rFonts w:ascii="Garamond" w:hAnsi="Garamond"/>
          <w:bCs/>
        </w:rPr>
      </w:pPr>
    </w:p>
    <w:p w14:paraId="55FDDB45" w14:textId="4D7AC714" w:rsidR="00500E6A" w:rsidRPr="00C036E1" w:rsidRDefault="00500E6A" w:rsidP="00C036E1">
      <w:pPr>
        <w:spacing w:line="276" w:lineRule="auto"/>
        <w:rPr>
          <w:rFonts w:ascii="Garamond" w:hAnsi="Garamond"/>
          <w:b/>
          <w:bCs/>
        </w:rPr>
      </w:pPr>
      <w:r w:rsidRPr="00092AE8">
        <w:rPr>
          <w:rFonts w:ascii="Garamond" w:hAnsi="Garamond"/>
          <w:b/>
          <w:bCs/>
        </w:rPr>
        <w:t>Study S</w:t>
      </w:r>
      <w:r w:rsidR="00014C02">
        <w:rPr>
          <w:rFonts w:ascii="Garamond" w:hAnsi="Garamond"/>
          <w:b/>
          <w:bCs/>
        </w:rPr>
        <w:t>5</w:t>
      </w:r>
      <w:r w:rsidRPr="00092AE8">
        <w:rPr>
          <w:rFonts w:ascii="Garamond" w:hAnsi="Garamond"/>
          <w:b/>
          <w:bCs/>
        </w:rPr>
        <w:t xml:space="preserve">: </w:t>
      </w:r>
      <w:r w:rsidR="00CB20F4">
        <w:rPr>
          <w:rFonts w:ascii="Garamond" w:hAnsi="Garamond"/>
          <w:b/>
          <w:bCs/>
        </w:rPr>
        <w:t>Subjective Beliefs and First-Person Perspective</w:t>
      </w:r>
      <w:r>
        <w:rPr>
          <w:rFonts w:ascii="Garamond" w:hAnsi="Garamond"/>
          <w:b/>
          <w:bCs/>
        </w:rPr>
        <w:t xml:space="preserve"> </w:t>
      </w:r>
    </w:p>
    <w:p w14:paraId="583C4FE7" w14:textId="77777777" w:rsidR="00500E6A" w:rsidRDefault="00500E6A" w:rsidP="009515BF">
      <w:pPr>
        <w:spacing w:line="276" w:lineRule="auto"/>
        <w:ind w:firstLine="360"/>
        <w:jc w:val="both"/>
        <w:rPr>
          <w:rFonts w:ascii="Garamond" w:hAnsi="Garamond"/>
          <w:bCs/>
        </w:rPr>
      </w:pPr>
    </w:p>
    <w:p w14:paraId="278FB3B9" w14:textId="74B8ADC4" w:rsidR="00791B8D" w:rsidRDefault="00D66FA0" w:rsidP="009515BF">
      <w:pPr>
        <w:spacing w:line="276" w:lineRule="auto"/>
        <w:ind w:firstLine="360"/>
        <w:jc w:val="both"/>
        <w:rPr>
          <w:rFonts w:ascii="Garamond" w:hAnsi="Garamond"/>
          <w:bCs/>
        </w:rPr>
      </w:pPr>
      <w:r>
        <w:rPr>
          <w:rFonts w:ascii="Garamond" w:hAnsi="Garamond"/>
          <w:bCs/>
        </w:rPr>
        <w:t xml:space="preserve">Given the large effects of </w:t>
      </w:r>
      <w:r w:rsidR="00E9553E">
        <w:rPr>
          <w:rFonts w:ascii="Garamond" w:hAnsi="Garamond"/>
          <w:bCs/>
        </w:rPr>
        <w:t>cueing</w:t>
      </w:r>
      <w:r>
        <w:rPr>
          <w:rFonts w:ascii="Garamond" w:hAnsi="Garamond"/>
          <w:bCs/>
        </w:rPr>
        <w:t xml:space="preserve"> reasons</w:t>
      </w:r>
      <w:r w:rsidR="00E9553E">
        <w:rPr>
          <w:rFonts w:ascii="Garamond" w:hAnsi="Garamond"/>
          <w:bCs/>
        </w:rPr>
        <w:t xml:space="preserve"> and preferences</w:t>
      </w:r>
      <w:r>
        <w:rPr>
          <w:rFonts w:ascii="Garamond" w:hAnsi="Garamond"/>
          <w:bCs/>
        </w:rPr>
        <w:t xml:space="preserve"> in Studies 3</w:t>
      </w:r>
      <w:r w:rsidR="00E9553E">
        <w:rPr>
          <w:rFonts w:ascii="Garamond" w:hAnsi="Garamond"/>
          <w:bCs/>
        </w:rPr>
        <w:t xml:space="preserve">, </w:t>
      </w:r>
      <w:r>
        <w:rPr>
          <w:rFonts w:ascii="Garamond" w:hAnsi="Garamond"/>
          <w:bCs/>
        </w:rPr>
        <w:t xml:space="preserve">S3, </w:t>
      </w:r>
      <w:r w:rsidR="00E9553E">
        <w:rPr>
          <w:rFonts w:ascii="Garamond" w:hAnsi="Garamond"/>
          <w:bCs/>
        </w:rPr>
        <w:t xml:space="preserve">and S4, </w:t>
      </w:r>
      <w:r>
        <w:rPr>
          <w:rFonts w:ascii="Garamond" w:hAnsi="Garamond"/>
          <w:bCs/>
        </w:rPr>
        <w:t xml:space="preserve">we considered </w:t>
      </w:r>
      <w:r w:rsidR="00AB0183">
        <w:rPr>
          <w:rFonts w:ascii="Garamond" w:hAnsi="Garamond"/>
          <w:bCs/>
        </w:rPr>
        <w:t xml:space="preserve">two </w:t>
      </w:r>
      <w:r>
        <w:rPr>
          <w:rFonts w:ascii="Garamond" w:hAnsi="Garamond"/>
          <w:bCs/>
        </w:rPr>
        <w:t xml:space="preserve">other potential manipulations that might influence the extent of win–win denial. </w:t>
      </w:r>
    </w:p>
    <w:p w14:paraId="5EBF2914" w14:textId="3D4529B9" w:rsidR="00D66FA0" w:rsidRDefault="00D66FA0" w:rsidP="00D66FA0">
      <w:pPr>
        <w:spacing w:line="276" w:lineRule="auto"/>
        <w:ind w:firstLine="360"/>
        <w:jc w:val="both"/>
        <w:rPr>
          <w:rFonts w:ascii="Garamond" w:hAnsi="Garamond"/>
          <w:bCs/>
        </w:rPr>
      </w:pPr>
      <w:r w:rsidRPr="00D66FA0">
        <w:rPr>
          <w:rFonts w:ascii="Garamond" w:hAnsi="Garamond"/>
          <w:bCs/>
        </w:rPr>
        <w:t xml:space="preserve">Study </w:t>
      </w:r>
      <w:r>
        <w:rPr>
          <w:rFonts w:ascii="Garamond" w:hAnsi="Garamond"/>
          <w:bCs/>
        </w:rPr>
        <w:t>S</w:t>
      </w:r>
      <w:r w:rsidR="00014C02">
        <w:rPr>
          <w:rFonts w:ascii="Garamond" w:hAnsi="Garamond"/>
          <w:bCs/>
        </w:rPr>
        <w:t>5</w:t>
      </w:r>
      <w:r>
        <w:rPr>
          <w:rFonts w:ascii="Garamond" w:hAnsi="Garamond"/>
          <w:bCs/>
        </w:rPr>
        <w:t>A</w:t>
      </w:r>
      <w:r w:rsidRPr="00D66FA0">
        <w:rPr>
          <w:rFonts w:ascii="Garamond" w:hAnsi="Garamond"/>
          <w:bCs/>
        </w:rPr>
        <w:t xml:space="preserve"> asked participants to judge the buyers’ and sellers’ </w:t>
      </w:r>
      <w:r w:rsidRPr="00D66FA0">
        <w:rPr>
          <w:rFonts w:ascii="Garamond" w:hAnsi="Garamond"/>
          <w:bCs/>
          <w:i/>
        </w:rPr>
        <w:t>beliefs</w:t>
      </w:r>
      <w:r w:rsidRPr="00D66FA0">
        <w:rPr>
          <w:rFonts w:ascii="Garamond" w:hAnsi="Garamond"/>
          <w:bCs/>
        </w:rPr>
        <w:t xml:space="preserve"> about their relative welfare. By asking participants to directly judge whether, for example, </w:t>
      </w:r>
      <w:r w:rsidR="00900597">
        <w:rPr>
          <w:rFonts w:ascii="Garamond" w:hAnsi="Garamond"/>
          <w:bCs/>
        </w:rPr>
        <w:t>Sally</w:t>
      </w:r>
      <w:r w:rsidRPr="00D66FA0">
        <w:rPr>
          <w:rFonts w:ascii="Garamond" w:hAnsi="Garamond"/>
          <w:bCs/>
        </w:rPr>
        <w:t xml:space="preserve"> </w:t>
      </w:r>
      <w:r w:rsidRPr="00D66FA0">
        <w:rPr>
          <w:rFonts w:ascii="Garamond" w:hAnsi="Garamond"/>
          <w:bCs/>
          <w:i/>
        </w:rPr>
        <w:t>believes</w:t>
      </w:r>
      <w:r w:rsidRPr="00D66FA0">
        <w:rPr>
          <w:rFonts w:ascii="Garamond" w:hAnsi="Garamond"/>
          <w:bCs/>
        </w:rPr>
        <w:t xml:space="preserve"> she is bettered by her chocolate bar purchase, they may be encouraged to spontaneously consider Mary’s reasons for making the purchase, which would lead to a pattern more like </w:t>
      </w:r>
      <w:r>
        <w:rPr>
          <w:rFonts w:ascii="Garamond" w:hAnsi="Garamond"/>
          <w:bCs/>
        </w:rPr>
        <w:t>Studies</w:t>
      </w:r>
      <w:r w:rsidRPr="00D66FA0">
        <w:rPr>
          <w:rFonts w:ascii="Garamond" w:hAnsi="Garamond"/>
          <w:bCs/>
        </w:rPr>
        <w:t xml:space="preserve"> 3</w:t>
      </w:r>
      <w:r>
        <w:rPr>
          <w:rFonts w:ascii="Garamond" w:hAnsi="Garamond"/>
          <w:bCs/>
        </w:rPr>
        <w:t xml:space="preserve"> and S3</w:t>
      </w:r>
      <w:r w:rsidRPr="00D66FA0">
        <w:rPr>
          <w:rFonts w:ascii="Garamond" w:hAnsi="Garamond"/>
          <w:bCs/>
        </w:rPr>
        <w:t xml:space="preserve"> (where reasons were provided) than Study 1 (where they were not). This would also suggest that people believe that others are </w:t>
      </w:r>
      <w:r w:rsidRPr="00D66FA0">
        <w:rPr>
          <w:rFonts w:ascii="Garamond" w:hAnsi="Garamond"/>
          <w:bCs/>
          <w:i/>
        </w:rPr>
        <w:t>mistaken</w:t>
      </w:r>
      <w:r w:rsidRPr="00D66FA0">
        <w:rPr>
          <w:rFonts w:ascii="Garamond" w:hAnsi="Garamond"/>
          <w:bCs/>
        </w:rPr>
        <w:t xml:space="preserve"> when they engage in exchanges—they may believe that they are better off, but they in fact are not. </w:t>
      </w:r>
      <w:r>
        <w:rPr>
          <w:rFonts w:ascii="Garamond" w:hAnsi="Garamond"/>
          <w:bCs/>
        </w:rPr>
        <w:t xml:space="preserve">This is the prediction made by </w:t>
      </w:r>
      <w:r w:rsidR="00E9553E">
        <w:rPr>
          <w:rFonts w:ascii="Garamond" w:hAnsi="Garamond"/>
          <w:bCs/>
        </w:rPr>
        <w:t>the theory-of-mind account</w:t>
      </w:r>
      <w:r>
        <w:rPr>
          <w:rFonts w:ascii="Garamond" w:hAnsi="Garamond"/>
          <w:bCs/>
        </w:rPr>
        <w:t xml:space="preserve">, according to which people </w:t>
      </w:r>
      <w:r w:rsidR="00291D86">
        <w:rPr>
          <w:rFonts w:ascii="Garamond" w:hAnsi="Garamond"/>
          <w:bCs/>
        </w:rPr>
        <w:t>typically substitute their preferences for that of the buyer.</w:t>
      </w:r>
      <w:r w:rsidR="008D36C1">
        <w:rPr>
          <w:rFonts w:ascii="Garamond" w:hAnsi="Garamond"/>
          <w:bCs/>
        </w:rPr>
        <w:t xml:space="preserve"> Asking people to explicitly think from the buyer’</w:t>
      </w:r>
      <w:r w:rsidR="00900597">
        <w:rPr>
          <w:rFonts w:ascii="Garamond" w:hAnsi="Garamond"/>
          <w:bCs/>
        </w:rPr>
        <w:t xml:space="preserve">s perspective </w:t>
      </w:r>
      <w:r w:rsidR="00AB4064">
        <w:rPr>
          <w:rFonts w:ascii="Garamond" w:hAnsi="Garamond"/>
          <w:bCs/>
        </w:rPr>
        <w:t xml:space="preserve">by using a subjective question wording </w:t>
      </w:r>
      <w:r w:rsidR="00900597">
        <w:rPr>
          <w:rFonts w:ascii="Garamond" w:hAnsi="Garamond"/>
          <w:bCs/>
        </w:rPr>
        <w:t>should, on this account, have a salutary effect on win–win denial.</w:t>
      </w:r>
    </w:p>
    <w:p w14:paraId="5BE9BEBB" w14:textId="54608C2F" w:rsidR="00D4456E" w:rsidRDefault="00900597" w:rsidP="00900597">
      <w:pPr>
        <w:spacing w:line="276" w:lineRule="auto"/>
        <w:ind w:firstLine="360"/>
        <w:jc w:val="both"/>
        <w:rPr>
          <w:rFonts w:ascii="Garamond" w:hAnsi="Garamond"/>
          <w:bCs/>
        </w:rPr>
      </w:pPr>
      <w:r w:rsidRPr="00D4456E">
        <w:rPr>
          <w:rFonts w:ascii="Garamond" w:hAnsi="Garamond"/>
          <w:bCs/>
        </w:rPr>
        <w:t>Study S</w:t>
      </w:r>
      <w:r w:rsidR="00CB20F4">
        <w:rPr>
          <w:rFonts w:ascii="Garamond" w:hAnsi="Garamond"/>
          <w:bCs/>
        </w:rPr>
        <w:t>5</w:t>
      </w:r>
      <w:r w:rsidRPr="00D4456E">
        <w:rPr>
          <w:rFonts w:ascii="Garamond" w:hAnsi="Garamond"/>
          <w:bCs/>
        </w:rPr>
        <w:t xml:space="preserve">B </w:t>
      </w:r>
      <w:r w:rsidR="00500E6A" w:rsidRPr="00D4456E">
        <w:rPr>
          <w:rFonts w:ascii="Garamond" w:hAnsi="Garamond"/>
          <w:bCs/>
        </w:rPr>
        <w:t>placed the participant in the position of the buyer by adopting a first-person perspective.</w:t>
      </w:r>
      <w:r w:rsidR="00FA2D2F">
        <w:rPr>
          <w:rFonts w:ascii="Garamond" w:hAnsi="Garamond"/>
          <w:bCs/>
        </w:rPr>
        <w:t xml:space="preserve"> </w:t>
      </w:r>
      <w:r w:rsidR="0086759D">
        <w:rPr>
          <w:rFonts w:ascii="Garamond" w:hAnsi="Garamond"/>
          <w:bCs/>
        </w:rPr>
        <w:t xml:space="preserve">On the one hand, people are known to exaggerate their decision-making abilities (e.g., Johnson &amp; Rips, 2014, 2015; </w:t>
      </w:r>
      <w:proofErr w:type="spellStart"/>
      <w:r w:rsidR="0086759D">
        <w:rPr>
          <w:rFonts w:ascii="Garamond" w:hAnsi="Garamond"/>
          <w:bCs/>
        </w:rPr>
        <w:t>Pronin</w:t>
      </w:r>
      <w:proofErr w:type="spellEnd"/>
      <w:r w:rsidR="0086759D">
        <w:rPr>
          <w:rFonts w:ascii="Garamond" w:hAnsi="Garamond"/>
          <w:bCs/>
        </w:rPr>
        <w:t xml:space="preserve"> &amp; Kugler, 2010) and might therefore be likelier to </w:t>
      </w:r>
      <w:r w:rsidR="00AB0183">
        <w:rPr>
          <w:rFonts w:ascii="Garamond" w:hAnsi="Garamond"/>
          <w:bCs/>
        </w:rPr>
        <w:t xml:space="preserve">think themselves as gaining from their purchases. But on the other hand, people actually know their own preferences, and in many cases the transactions really may not be worth it. You aren’t better-off spending $2 for a chocolate bar if you don’t like chocolate! If </w:t>
      </w:r>
      <w:r w:rsidR="00E9553E">
        <w:rPr>
          <w:rFonts w:ascii="Garamond" w:hAnsi="Garamond"/>
          <w:bCs/>
        </w:rPr>
        <w:t>theory-of-mind errors</w:t>
      </w:r>
      <w:r w:rsidR="00AB0183">
        <w:rPr>
          <w:rFonts w:ascii="Garamond" w:hAnsi="Garamond"/>
          <w:bCs/>
        </w:rPr>
        <w:t xml:space="preserve"> </w:t>
      </w:r>
      <w:r w:rsidR="00E9553E">
        <w:rPr>
          <w:rFonts w:ascii="Garamond" w:hAnsi="Garamond"/>
          <w:bCs/>
        </w:rPr>
        <w:t>are</w:t>
      </w:r>
      <w:r w:rsidR="00AB0183">
        <w:rPr>
          <w:rFonts w:ascii="Garamond" w:hAnsi="Garamond"/>
          <w:bCs/>
        </w:rPr>
        <w:t xml:space="preserve"> at work, these first-person judgments might look very similar to third-person judgments, since one might impute one’s own anti-chocolate preferences onto the third-person buyer. Thus, </w:t>
      </w:r>
      <w:r w:rsidR="00E9553E">
        <w:rPr>
          <w:rFonts w:ascii="Garamond" w:hAnsi="Garamond"/>
          <w:bCs/>
        </w:rPr>
        <w:t>this account</w:t>
      </w:r>
      <w:r w:rsidR="00AB0183">
        <w:rPr>
          <w:rFonts w:ascii="Garamond" w:hAnsi="Garamond"/>
          <w:bCs/>
        </w:rPr>
        <w:t xml:space="preserve"> predicts that Study S</w:t>
      </w:r>
      <w:r w:rsidR="00CB20F4">
        <w:rPr>
          <w:rFonts w:ascii="Garamond" w:hAnsi="Garamond"/>
          <w:bCs/>
        </w:rPr>
        <w:t>5</w:t>
      </w:r>
      <w:r w:rsidR="00AB0183">
        <w:rPr>
          <w:rFonts w:ascii="Garamond" w:hAnsi="Garamond"/>
          <w:bCs/>
        </w:rPr>
        <w:t xml:space="preserve">B would produce similar results to Study 1. </w:t>
      </w:r>
    </w:p>
    <w:p w14:paraId="449AC99B" w14:textId="77777777" w:rsidR="00500E6A" w:rsidRDefault="00500E6A" w:rsidP="00500E6A">
      <w:pPr>
        <w:spacing w:line="276" w:lineRule="auto"/>
        <w:ind w:firstLine="360"/>
        <w:jc w:val="both"/>
        <w:rPr>
          <w:rFonts w:ascii="Garamond" w:hAnsi="Garamond"/>
          <w:bCs/>
        </w:rPr>
      </w:pPr>
    </w:p>
    <w:p w14:paraId="0339D349" w14:textId="408FECB0" w:rsidR="007005BE" w:rsidRDefault="00500E6A" w:rsidP="00EA11CF">
      <w:pPr>
        <w:spacing w:line="276" w:lineRule="auto"/>
        <w:ind w:firstLine="360"/>
        <w:jc w:val="both"/>
        <w:rPr>
          <w:rFonts w:ascii="Garamond" w:hAnsi="Garamond"/>
        </w:rPr>
      </w:pPr>
      <w:r w:rsidRPr="008137EF">
        <w:rPr>
          <w:rFonts w:ascii="Garamond" w:hAnsi="Garamond"/>
          <w:b/>
        </w:rPr>
        <w:t>Methods.</w:t>
      </w:r>
      <w:r w:rsidRPr="008137EF">
        <w:rPr>
          <w:rFonts w:ascii="Garamond" w:hAnsi="Garamond"/>
        </w:rPr>
        <w:t xml:space="preserve"> We recruited </w:t>
      </w:r>
      <w:r>
        <w:rPr>
          <w:rFonts w:ascii="Garamond" w:hAnsi="Garamond"/>
        </w:rPr>
        <w:t>199</w:t>
      </w:r>
      <w:r w:rsidRPr="008137EF">
        <w:rPr>
          <w:rFonts w:ascii="Garamond" w:hAnsi="Garamond"/>
        </w:rPr>
        <w:t xml:space="preserve"> participants (</w:t>
      </w:r>
      <w:r w:rsidRPr="008137EF">
        <w:rPr>
          <w:rFonts w:ascii="Garamond" w:hAnsi="Garamond"/>
          <w:i/>
        </w:rPr>
        <w:t>M</w:t>
      </w:r>
      <w:r w:rsidRPr="008137EF">
        <w:rPr>
          <w:rFonts w:ascii="Garamond" w:hAnsi="Garamond"/>
          <w:vertAlign w:val="subscript"/>
        </w:rPr>
        <w:t>age</w:t>
      </w:r>
      <w:r w:rsidRPr="008137EF">
        <w:rPr>
          <w:rFonts w:ascii="Garamond" w:hAnsi="Garamond"/>
        </w:rPr>
        <w:t xml:space="preserve"> = </w:t>
      </w:r>
      <w:r>
        <w:rPr>
          <w:rFonts w:ascii="Garamond" w:hAnsi="Garamond"/>
        </w:rPr>
        <w:t xml:space="preserve">37.9; 61% female; 43% college educated) from </w:t>
      </w:r>
      <w:r w:rsidRPr="008137EF">
        <w:rPr>
          <w:rFonts w:ascii="Garamond" w:hAnsi="Garamond"/>
        </w:rPr>
        <w:t xml:space="preserve">Amazon Mechanical Turk </w:t>
      </w:r>
      <w:r>
        <w:rPr>
          <w:rFonts w:ascii="Garamond" w:hAnsi="Garamond"/>
        </w:rPr>
        <w:t>(</w:t>
      </w:r>
      <w:r>
        <w:rPr>
          <w:rFonts w:ascii="Garamond" w:hAnsi="Garamond"/>
          <w:i/>
        </w:rPr>
        <w:t>N</w:t>
      </w:r>
      <w:r w:rsidR="00807998">
        <w:rPr>
          <w:rFonts w:ascii="Garamond" w:hAnsi="Garamond"/>
        </w:rPr>
        <w:t xml:space="preserve"> = 100</w:t>
      </w:r>
      <w:r>
        <w:rPr>
          <w:rFonts w:ascii="Garamond" w:hAnsi="Garamond"/>
        </w:rPr>
        <w:t xml:space="preserve"> for </w:t>
      </w:r>
      <w:r w:rsidR="00DA795C">
        <w:rPr>
          <w:rFonts w:ascii="Garamond" w:hAnsi="Garamond"/>
        </w:rPr>
        <w:t xml:space="preserve">Study </w:t>
      </w:r>
      <w:r w:rsidR="00EA11CF">
        <w:rPr>
          <w:rFonts w:ascii="Garamond" w:hAnsi="Garamond"/>
        </w:rPr>
        <w:t>S</w:t>
      </w:r>
      <w:r w:rsidR="00014C02">
        <w:rPr>
          <w:rFonts w:ascii="Garamond" w:hAnsi="Garamond"/>
        </w:rPr>
        <w:t>5</w:t>
      </w:r>
      <w:r>
        <w:rPr>
          <w:rFonts w:ascii="Garamond" w:hAnsi="Garamond"/>
        </w:rPr>
        <w:t xml:space="preserve">A and </w:t>
      </w:r>
      <w:r>
        <w:rPr>
          <w:rFonts w:ascii="Garamond" w:hAnsi="Garamond"/>
          <w:i/>
        </w:rPr>
        <w:t>N</w:t>
      </w:r>
      <w:r w:rsidR="00807998">
        <w:rPr>
          <w:rFonts w:ascii="Garamond" w:hAnsi="Garamond"/>
        </w:rPr>
        <w:t xml:space="preserve"> = 99</w:t>
      </w:r>
      <w:r>
        <w:rPr>
          <w:rFonts w:ascii="Garamond" w:hAnsi="Garamond"/>
        </w:rPr>
        <w:t xml:space="preserve"> for </w:t>
      </w:r>
      <w:r w:rsidR="00DA795C">
        <w:rPr>
          <w:rFonts w:ascii="Garamond" w:hAnsi="Garamond"/>
        </w:rPr>
        <w:t xml:space="preserve">Study </w:t>
      </w:r>
      <w:r w:rsidR="00EA11CF">
        <w:rPr>
          <w:rFonts w:ascii="Garamond" w:hAnsi="Garamond"/>
        </w:rPr>
        <w:t>S</w:t>
      </w:r>
      <w:r w:rsidR="00014C02">
        <w:rPr>
          <w:rFonts w:ascii="Garamond" w:hAnsi="Garamond"/>
        </w:rPr>
        <w:t>5</w:t>
      </w:r>
      <w:r>
        <w:rPr>
          <w:rFonts w:ascii="Garamond" w:hAnsi="Garamond"/>
        </w:rPr>
        <w:t>B)</w:t>
      </w:r>
      <w:r w:rsidR="007005BE">
        <w:rPr>
          <w:rFonts w:ascii="Garamond" w:hAnsi="Garamond"/>
        </w:rPr>
        <w:t>;</w:t>
      </w:r>
      <w:r w:rsidR="007005BE" w:rsidRPr="007005BE">
        <w:rPr>
          <w:rFonts w:ascii="Garamond" w:hAnsi="Garamond"/>
        </w:rPr>
        <w:t xml:space="preserve"> </w:t>
      </w:r>
      <w:r w:rsidR="002B34A8">
        <w:rPr>
          <w:rFonts w:ascii="Garamond" w:hAnsi="Garamond"/>
        </w:rPr>
        <w:t>31</w:t>
      </w:r>
      <w:r w:rsidR="007005BE">
        <w:rPr>
          <w:rFonts w:ascii="Garamond" w:hAnsi="Garamond"/>
        </w:rPr>
        <w:t xml:space="preserve"> were excluded from analysis based on the criterion used in the other studies.</w:t>
      </w:r>
    </w:p>
    <w:p w14:paraId="53618930" w14:textId="5227F8F0" w:rsidR="00807998" w:rsidRPr="00807998" w:rsidRDefault="00807998" w:rsidP="00807998">
      <w:pPr>
        <w:spacing w:line="276" w:lineRule="auto"/>
        <w:ind w:firstLine="360"/>
        <w:jc w:val="both"/>
        <w:rPr>
          <w:rFonts w:ascii="Garamond" w:hAnsi="Garamond"/>
          <w:bCs/>
        </w:rPr>
      </w:pPr>
      <w:r w:rsidRPr="00EA11CF">
        <w:rPr>
          <w:rFonts w:ascii="Garamond" w:hAnsi="Garamond"/>
          <w:bCs/>
        </w:rPr>
        <w:t xml:space="preserve">For Study </w:t>
      </w:r>
      <w:r w:rsidR="00D66FA0">
        <w:rPr>
          <w:rFonts w:ascii="Garamond" w:hAnsi="Garamond"/>
          <w:bCs/>
        </w:rPr>
        <w:t>S</w:t>
      </w:r>
      <w:r w:rsidR="00014C02">
        <w:rPr>
          <w:rFonts w:ascii="Garamond" w:hAnsi="Garamond"/>
          <w:bCs/>
        </w:rPr>
        <w:t>5</w:t>
      </w:r>
      <w:r>
        <w:rPr>
          <w:rFonts w:ascii="Garamond" w:hAnsi="Garamond"/>
          <w:bCs/>
        </w:rPr>
        <w:t>A</w:t>
      </w:r>
      <w:r w:rsidRPr="00EA11CF">
        <w:rPr>
          <w:rFonts w:ascii="Garamond" w:hAnsi="Garamond"/>
          <w:bCs/>
        </w:rPr>
        <w:t xml:space="preserve">, the procedure was identical to Study 1, except that rather than rating the buyers’ and sellers’ welfare, participants rated the buyers’ and sellers’ </w:t>
      </w:r>
      <w:r w:rsidRPr="00EA11CF">
        <w:rPr>
          <w:rFonts w:ascii="Garamond" w:hAnsi="Garamond"/>
          <w:bCs/>
          <w:i/>
        </w:rPr>
        <w:t xml:space="preserve">perceived </w:t>
      </w:r>
      <w:r w:rsidRPr="00EA11CF">
        <w:rPr>
          <w:rFonts w:ascii="Garamond" w:hAnsi="Garamond"/>
          <w:bCs/>
        </w:rPr>
        <w:t xml:space="preserve">welfare. For example, the </w:t>
      </w:r>
      <w:r w:rsidRPr="00EA11CF">
        <w:rPr>
          <w:rFonts w:ascii="Garamond" w:hAnsi="Garamond"/>
          <w:bCs/>
        </w:rPr>
        <w:lastRenderedPageBreak/>
        <w:t>dependent measures for Sally and her clothing purchase from Tony were “How well off do you think Sally believes she now is?” and “How well off do you think Tony believes he now is?” The instructions were modified to reflect this change</w:t>
      </w:r>
      <w:r w:rsidR="00AB4064">
        <w:rPr>
          <w:rFonts w:ascii="Garamond" w:hAnsi="Garamond"/>
          <w:bCs/>
        </w:rPr>
        <w:t xml:space="preserve"> to a subjective wording</w:t>
      </w:r>
      <w:r w:rsidRPr="00EA11CF">
        <w:rPr>
          <w:rFonts w:ascii="Garamond" w:hAnsi="Garamond"/>
          <w:bCs/>
        </w:rPr>
        <w:t xml:space="preserve"> (“For each transaction, you will be asked whether each participant believes that he or she is better off, worse of, or the same, relative to how they were before the transaction”).</w:t>
      </w:r>
    </w:p>
    <w:p w14:paraId="6E462AA3" w14:textId="46498337" w:rsidR="00500E6A" w:rsidRDefault="00500E6A" w:rsidP="00500E6A">
      <w:pPr>
        <w:spacing w:line="276" w:lineRule="auto"/>
        <w:ind w:firstLine="360"/>
        <w:jc w:val="both"/>
        <w:rPr>
          <w:rFonts w:ascii="Garamond" w:hAnsi="Garamond"/>
          <w:bCs/>
        </w:rPr>
      </w:pPr>
      <w:r w:rsidRPr="00EA11CF">
        <w:rPr>
          <w:rFonts w:ascii="Garamond" w:hAnsi="Garamond"/>
          <w:bCs/>
        </w:rPr>
        <w:t xml:space="preserve">For </w:t>
      </w:r>
      <w:r w:rsidR="00DA795C" w:rsidRPr="00EA11CF">
        <w:rPr>
          <w:rFonts w:ascii="Garamond" w:hAnsi="Garamond"/>
          <w:bCs/>
        </w:rPr>
        <w:t xml:space="preserve">Study </w:t>
      </w:r>
      <w:r w:rsidR="00EA11CF" w:rsidRPr="00EA11CF">
        <w:rPr>
          <w:rFonts w:ascii="Garamond" w:hAnsi="Garamond"/>
          <w:bCs/>
        </w:rPr>
        <w:t>S</w:t>
      </w:r>
      <w:r w:rsidR="00014C02">
        <w:rPr>
          <w:rFonts w:ascii="Garamond" w:hAnsi="Garamond"/>
          <w:bCs/>
        </w:rPr>
        <w:t>5</w:t>
      </w:r>
      <w:r w:rsidR="00807998">
        <w:rPr>
          <w:rFonts w:ascii="Garamond" w:hAnsi="Garamond"/>
          <w:bCs/>
        </w:rPr>
        <w:t>B</w:t>
      </w:r>
      <w:r w:rsidRPr="00EA11CF">
        <w:rPr>
          <w:rFonts w:ascii="Garamond" w:hAnsi="Garamond"/>
          <w:bCs/>
        </w:rPr>
        <w:t xml:space="preserve">, the procedure was identical to </w:t>
      </w:r>
      <w:r w:rsidR="002B26DD" w:rsidRPr="00EA11CF">
        <w:rPr>
          <w:rFonts w:ascii="Garamond" w:hAnsi="Garamond"/>
          <w:bCs/>
        </w:rPr>
        <w:t>Study 1</w:t>
      </w:r>
      <w:r w:rsidRPr="00EA11CF">
        <w:rPr>
          <w:rFonts w:ascii="Garamond" w:hAnsi="Garamond"/>
          <w:bCs/>
        </w:rPr>
        <w:t>, except that the buyers in the transactions were first-person (“you”) rather than third-person (e.g., “Sally” or “Eric”). One item had to be lightly rephrased to make it gender-neutral, but otherwise all items were unchanged. For example, one item read “You go to Tony’s clothing store. You pay Tony $30 for a shirt,” and the dependent measures were “How well off do you think you now are?” and “How well off do you think Tony now is?” on the same scale as previous experiments. The instructions were modified to reflect these changes (“…you will read about some transactions, each involving you and another person”).</w:t>
      </w:r>
    </w:p>
    <w:p w14:paraId="49115004" w14:textId="77777777" w:rsidR="00AB0183" w:rsidRDefault="00AB0183" w:rsidP="00500E6A">
      <w:pPr>
        <w:spacing w:line="276" w:lineRule="auto"/>
        <w:ind w:firstLine="360"/>
        <w:jc w:val="both"/>
        <w:rPr>
          <w:rFonts w:ascii="Garamond" w:hAnsi="Garamond"/>
          <w:bCs/>
        </w:rPr>
      </w:pPr>
    </w:p>
    <w:p w14:paraId="1651D310" w14:textId="7BEC145E" w:rsidR="00AB0183" w:rsidRDefault="00AB0183" w:rsidP="00AB0183">
      <w:pPr>
        <w:spacing w:line="276" w:lineRule="auto"/>
        <w:ind w:firstLine="360"/>
        <w:jc w:val="both"/>
        <w:rPr>
          <w:rFonts w:ascii="Garamond" w:hAnsi="Garamond"/>
          <w:bCs/>
        </w:rPr>
      </w:pPr>
      <w:r w:rsidRPr="00AB0183">
        <w:rPr>
          <w:rFonts w:ascii="Garamond" w:hAnsi="Garamond"/>
          <w:b/>
          <w:bCs/>
        </w:rPr>
        <w:t>Results and Discussion.</w:t>
      </w:r>
      <w:r w:rsidRPr="00AB0183">
        <w:rPr>
          <w:rFonts w:ascii="Garamond" w:hAnsi="Garamond"/>
          <w:bCs/>
        </w:rPr>
        <w:t xml:space="preserve"> </w:t>
      </w:r>
      <w:r w:rsidR="009F0E35">
        <w:rPr>
          <w:rFonts w:ascii="Garamond" w:hAnsi="Garamond"/>
          <w:bCs/>
        </w:rPr>
        <w:t>As shown in Figure S</w:t>
      </w:r>
      <w:r w:rsidR="00014C02">
        <w:rPr>
          <w:rFonts w:ascii="Garamond" w:hAnsi="Garamond"/>
          <w:bCs/>
        </w:rPr>
        <w:t>5</w:t>
      </w:r>
      <w:r>
        <w:rPr>
          <w:rFonts w:ascii="Garamond" w:hAnsi="Garamond"/>
          <w:bCs/>
        </w:rPr>
        <w:t>, win–win denial was somewhat less common in Study S</w:t>
      </w:r>
      <w:r w:rsidR="00014C02">
        <w:rPr>
          <w:rFonts w:ascii="Garamond" w:hAnsi="Garamond"/>
          <w:bCs/>
        </w:rPr>
        <w:t>5</w:t>
      </w:r>
      <w:r>
        <w:rPr>
          <w:rFonts w:ascii="Garamond" w:hAnsi="Garamond"/>
          <w:bCs/>
        </w:rPr>
        <w:t>A, when explicitly taking the buyers’, sellers’, and traders’ perspectives, compared to other studies where one is not cued to take the transactors’ perspectives. However, the first-person framing in Study S</w:t>
      </w:r>
      <w:r w:rsidR="00014C02">
        <w:rPr>
          <w:rFonts w:ascii="Garamond" w:hAnsi="Garamond"/>
          <w:bCs/>
        </w:rPr>
        <w:t>5</w:t>
      </w:r>
      <w:r>
        <w:rPr>
          <w:rFonts w:ascii="Garamond" w:hAnsi="Garamond"/>
          <w:bCs/>
        </w:rPr>
        <w:t xml:space="preserve">B led to similar rates of win–win denial as in Study 1, further implicating </w:t>
      </w:r>
      <w:r w:rsidR="00E9553E">
        <w:rPr>
          <w:rFonts w:ascii="Garamond" w:hAnsi="Garamond"/>
          <w:bCs/>
        </w:rPr>
        <w:t>theory-of-mind</w:t>
      </w:r>
      <w:r>
        <w:rPr>
          <w:rFonts w:ascii="Garamond" w:hAnsi="Garamond"/>
          <w:bCs/>
        </w:rPr>
        <w:t>. In both studies, asymmetries among buyers, sellers, and traders remained robust.</w:t>
      </w:r>
    </w:p>
    <w:p w14:paraId="28EBCA92" w14:textId="2FE34E75" w:rsidR="008F1493" w:rsidRDefault="00B3608F" w:rsidP="008F1493">
      <w:pPr>
        <w:spacing w:line="276" w:lineRule="auto"/>
        <w:ind w:firstLine="360"/>
        <w:jc w:val="both"/>
        <w:rPr>
          <w:rFonts w:ascii="Garamond" w:hAnsi="Garamond"/>
          <w:bCs/>
        </w:rPr>
      </w:pPr>
      <w:r>
        <w:rPr>
          <w:rFonts w:ascii="Garamond" w:hAnsi="Garamond"/>
          <w:bCs/>
        </w:rPr>
        <w:t>First, we replicated the asymmetries among buyers, sellers, and traders that we have seen in every other study. Buyers were seen as likelier to lose from transactions compared to sellers in both Study S</w:t>
      </w:r>
      <w:r w:rsidR="00014C02">
        <w:rPr>
          <w:rFonts w:ascii="Garamond" w:hAnsi="Garamond"/>
          <w:bCs/>
        </w:rPr>
        <w:t>5</w:t>
      </w:r>
      <w:r>
        <w:rPr>
          <w:rFonts w:ascii="Garamond" w:hAnsi="Garamond"/>
          <w:bCs/>
        </w:rPr>
        <w:t>A [</w:t>
      </w:r>
      <w:r>
        <w:rPr>
          <w:rFonts w:ascii="Garamond" w:hAnsi="Garamond"/>
          <w:bCs/>
          <w:i/>
        </w:rPr>
        <w:t>t</w:t>
      </w:r>
      <w:r>
        <w:rPr>
          <w:rFonts w:ascii="Garamond" w:hAnsi="Garamond"/>
          <w:bCs/>
        </w:rPr>
        <w:t xml:space="preserve">(81) = </w:t>
      </w:r>
      <w:r w:rsidR="009F0E35">
        <w:rPr>
          <w:rFonts w:ascii="Garamond" w:hAnsi="Garamond"/>
          <w:bCs/>
        </w:rPr>
        <w:t xml:space="preserve">5.41, </w:t>
      </w:r>
      <w:r w:rsidR="009F0E35">
        <w:rPr>
          <w:rFonts w:ascii="Garamond" w:hAnsi="Garamond"/>
          <w:bCs/>
          <w:i/>
        </w:rPr>
        <w:t>p</w:t>
      </w:r>
      <w:r w:rsidR="009F0E35">
        <w:rPr>
          <w:rFonts w:ascii="Garamond" w:hAnsi="Garamond"/>
          <w:bCs/>
        </w:rPr>
        <w:t xml:space="preserve"> &lt; .001, </w:t>
      </w:r>
      <w:r w:rsidR="009F0E35">
        <w:rPr>
          <w:rFonts w:ascii="Garamond" w:hAnsi="Garamond"/>
          <w:bCs/>
          <w:i/>
        </w:rPr>
        <w:t>d</w:t>
      </w:r>
      <w:r w:rsidR="009F0E35">
        <w:rPr>
          <w:rFonts w:ascii="Garamond" w:hAnsi="Garamond"/>
          <w:bCs/>
        </w:rPr>
        <w:t xml:space="preserve"> = 0.76] and Study S</w:t>
      </w:r>
      <w:r w:rsidR="00014C02">
        <w:rPr>
          <w:rFonts w:ascii="Garamond" w:hAnsi="Garamond"/>
          <w:bCs/>
        </w:rPr>
        <w:t>5</w:t>
      </w:r>
      <w:r w:rsidR="009F0E35">
        <w:rPr>
          <w:rFonts w:ascii="Garamond" w:hAnsi="Garamond"/>
          <w:bCs/>
        </w:rPr>
        <w:t>B [</w:t>
      </w:r>
      <w:r w:rsidR="009F0E35">
        <w:rPr>
          <w:rFonts w:ascii="Garamond" w:hAnsi="Garamond"/>
          <w:bCs/>
          <w:i/>
        </w:rPr>
        <w:t>t</w:t>
      </w:r>
      <w:r w:rsidR="009F0E35">
        <w:rPr>
          <w:rFonts w:ascii="Garamond" w:hAnsi="Garamond"/>
          <w:bCs/>
        </w:rPr>
        <w:t xml:space="preserve">(85) = 7.96, </w:t>
      </w:r>
      <w:r w:rsidR="009F0E35">
        <w:rPr>
          <w:rFonts w:ascii="Garamond" w:hAnsi="Garamond"/>
          <w:bCs/>
          <w:i/>
        </w:rPr>
        <w:t>p</w:t>
      </w:r>
      <w:r w:rsidR="009F0E35">
        <w:rPr>
          <w:rFonts w:ascii="Garamond" w:hAnsi="Garamond"/>
          <w:bCs/>
        </w:rPr>
        <w:t xml:space="preserve"> &lt; .001, </w:t>
      </w:r>
      <w:r w:rsidR="009F0E35">
        <w:rPr>
          <w:rFonts w:ascii="Garamond" w:hAnsi="Garamond"/>
          <w:bCs/>
          <w:i/>
        </w:rPr>
        <w:t>d</w:t>
      </w:r>
      <w:r w:rsidR="009F0E35">
        <w:rPr>
          <w:rFonts w:ascii="Garamond" w:hAnsi="Garamond"/>
          <w:bCs/>
        </w:rPr>
        <w:t xml:space="preserve"> = 1.15], and these trends were also reflected in mean welfare-change scores [</w:t>
      </w:r>
      <w:r w:rsidR="009F0E35">
        <w:rPr>
          <w:rFonts w:ascii="Garamond" w:hAnsi="Garamond"/>
          <w:bCs/>
          <w:i/>
        </w:rPr>
        <w:t>t</w:t>
      </w:r>
      <w:r w:rsidR="009F0E35">
        <w:rPr>
          <w:rFonts w:ascii="Garamond" w:hAnsi="Garamond"/>
          <w:bCs/>
        </w:rPr>
        <w:t xml:space="preserve">(81) = 6.89, </w:t>
      </w:r>
      <w:r w:rsidR="009F0E35">
        <w:rPr>
          <w:rFonts w:ascii="Garamond" w:hAnsi="Garamond"/>
          <w:bCs/>
          <w:i/>
        </w:rPr>
        <w:t>p</w:t>
      </w:r>
      <w:r w:rsidR="009F0E35">
        <w:rPr>
          <w:rFonts w:ascii="Garamond" w:hAnsi="Garamond"/>
          <w:bCs/>
        </w:rPr>
        <w:t xml:space="preserve"> &lt; .001, </w:t>
      </w:r>
      <w:r w:rsidR="009F0E35">
        <w:rPr>
          <w:rFonts w:ascii="Garamond" w:hAnsi="Garamond"/>
          <w:bCs/>
          <w:i/>
        </w:rPr>
        <w:t>d</w:t>
      </w:r>
      <w:r w:rsidR="009F0E35">
        <w:rPr>
          <w:rFonts w:ascii="Garamond" w:hAnsi="Garamond"/>
          <w:bCs/>
        </w:rPr>
        <w:t xml:space="preserve"> = 0.65 and </w:t>
      </w:r>
      <w:r w:rsidR="009F0E35">
        <w:rPr>
          <w:rFonts w:ascii="Garamond" w:hAnsi="Garamond"/>
          <w:bCs/>
          <w:i/>
        </w:rPr>
        <w:t>t</w:t>
      </w:r>
      <w:r w:rsidR="009F0E35">
        <w:rPr>
          <w:rFonts w:ascii="Garamond" w:hAnsi="Garamond"/>
          <w:bCs/>
        </w:rPr>
        <w:t xml:space="preserve">(85) = 8.89, </w:t>
      </w:r>
      <w:r w:rsidR="009F0E35">
        <w:rPr>
          <w:rFonts w:ascii="Garamond" w:hAnsi="Garamond"/>
          <w:bCs/>
          <w:i/>
        </w:rPr>
        <w:t>p</w:t>
      </w:r>
      <w:r w:rsidR="009F0E35">
        <w:rPr>
          <w:rFonts w:ascii="Garamond" w:hAnsi="Garamond"/>
          <w:bCs/>
        </w:rPr>
        <w:t xml:space="preserve"> &lt; .001, </w:t>
      </w:r>
      <w:r w:rsidR="009F0E35">
        <w:rPr>
          <w:rFonts w:ascii="Garamond" w:hAnsi="Garamond"/>
          <w:bCs/>
          <w:i/>
        </w:rPr>
        <w:t>d</w:t>
      </w:r>
      <w:r w:rsidR="009F0E35">
        <w:rPr>
          <w:rFonts w:ascii="Garamond" w:hAnsi="Garamond"/>
          <w:bCs/>
        </w:rPr>
        <w:t xml:space="preserve"> = 0.99]</w:t>
      </w:r>
      <w:r w:rsidR="00AB4064">
        <w:rPr>
          <w:rFonts w:ascii="Garamond" w:hAnsi="Garamond"/>
          <w:bCs/>
        </w:rPr>
        <w:t>. Likewise, traders were seen as likelier to experience no change in welfare compared to both buyers [</w:t>
      </w:r>
      <w:r w:rsidR="00AB4064">
        <w:rPr>
          <w:rFonts w:ascii="Garamond" w:hAnsi="Garamond"/>
          <w:bCs/>
          <w:i/>
        </w:rPr>
        <w:t>t</w:t>
      </w:r>
      <w:r w:rsidR="00AB4064">
        <w:rPr>
          <w:rFonts w:ascii="Garamond" w:hAnsi="Garamond"/>
          <w:bCs/>
        </w:rPr>
        <w:t xml:space="preserve">(81) = 5.15, </w:t>
      </w:r>
      <w:r w:rsidR="00AB4064">
        <w:rPr>
          <w:rFonts w:ascii="Garamond" w:hAnsi="Garamond"/>
          <w:bCs/>
          <w:i/>
        </w:rPr>
        <w:t>p</w:t>
      </w:r>
      <w:r w:rsidR="00AB4064">
        <w:rPr>
          <w:rFonts w:ascii="Garamond" w:hAnsi="Garamond"/>
          <w:bCs/>
        </w:rPr>
        <w:t xml:space="preserve"> &lt; .001, </w:t>
      </w:r>
      <w:r w:rsidR="00AB4064">
        <w:rPr>
          <w:rFonts w:ascii="Garamond" w:hAnsi="Garamond"/>
          <w:bCs/>
          <w:i/>
        </w:rPr>
        <w:t>d</w:t>
      </w:r>
      <w:r w:rsidR="00AB4064">
        <w:rPr>
          <w:rFonts w:ascii="Garamond" w:hAnsi="Garamond"/>
          <w:bCs/>
        </w:rPr>
        <w:t xml:space="preserve"> = 0.69 and </w:t>
      </w:r>
      <w:r w:rsidR="00AB4064">
        <w:rPr>
          <w:rFonts w:ascii="Garamond" w:hAnsi="Garamond"/>
          <w:bCs/>
          <w:i/>
        </w:rPr>
        <w:t>t</w:t>
      </w:r>
      <w:r w:rsidR="00AB4064">
        <w:rPr>
          <w:rFonts w:ascii="Garamond" w:hAnsi="Garamond"/>
          <w:bCs/>
        </w:rPr>
        <w:t xml:space="preserve">(85) = 8.08, </w:t>
      </w:r>
      <w:r w:rsidR="00AB4064">
        <w:rPr>
          <w:rFonts w:ascii="Garamond" w:hAnsi="Garamond"/>
          <w:bCs/>
          <w:i/>
        </w:rPr>
        <w:t>p</w:t>
      </w:r>
      <w:r w:rsidR="00AB4064">
        <w:rPr>
          <w:rFonts w:ascii="Garamond" w:hAnsi="Garamond"/>
          <w:bCs/>
        </w:rPr>
        <w:t xml:space="preserve"> &lt; .001, </w:t>
      </w:r>
      <w:r w:rsidR="00AB4064">
        <w:rPr>
          <w:rFonts w:ascii="Garamond" w:hAnsi="Garamond"/>
          <w:bCs/>
          <w:i/>
        </w:rPr>
        <w:t>d</w:t>
      </w:r>
      <w:r w:rsidR="00AB4064">
        <w:rPr>
          <w:rFonts w:ascii="Garamond" w:hAnsi="Garamond"/>
          <w:bCs/>
        </w:rPr>
        <w:t xml:space="preserve"> = 1.12] and sellers [</w:t>
      </w:r>
      <w:r w:rsidR="00AB4064">
        <w:rPr>
          <w:rFonts w:ascii="Garamond" w:hAnsi="Garamond"/>
          <w:bCs/>
          <w:i/>
        </w:rPr>
        <w:t>t</w:t>
      </w:r>
      <w:r w:rsidR="00AB4064">
        <w:rPr>
          <w:rFonts w:ascii="Garamond" w:hAnsi="Garamond"/>
          <w:bCs/>
        </w:rPr>
        <w:t xml:space="preserve">(81) = 5.11, </w:t>
      </w:r>
      <w:r w:rsidR="00AB4064">
        <w:rPr>
          <w:rFonts w:ascii="Garamond" w:hAnsi="Garamond"/>
          <w:bCs/>
          <w:i/>
        </w:rPr>
        <w:t>p</w:t>
      </w:r>
      <w:r w:rsidR="00AB4064">
        <w:rPr>
          <w:rFonts w:ascii="Garamond" w:hAnsi="Garamond"/>
          <w:bCs/>
        </w:rPr>
        <w:t xml:space="preserve"> &lt; .001, </w:t>
      </w:r>
      <w:r w:rsidR="00AB4064">
        <w:rPr>
          <w:rFonts w:ascii="Garamond" w:hAnsi="Garamond"/>
          <w:bCs/>
          <w:i/>
        </w:rPr>
        <w:t>d</w:t>
      </w:r>
      <w:r w:rsidR="00AB4064">
        <w:rPr>
          <w:rFonts w:ascii="Garamond" w:hAnsi="Garamond"/>
          <w:bCs/>
        </w:rPr>
        <w:t xml:space="preserve"> = 0.66 and </w:t>
      </w:r>
      <w:r w:rsidR="00AB4064">
        <w:rPr>
          <w:rFonts w:ascii="Garamond" w:hAnsi="Garamond"/>
          <w:bCs/>
          <w:i/>
        </w:rPr>
        <w:t>t</w:t>
      </w:r>
      <w:r w:rsidR="00AB4064">
        <w:rPr>
          <w:rFonts w:ascii="Garamond" w:hAnsi="Garamond"/>
          <w:bCs/>
        </w:rPr>
        <w:t xml:space="preserve">(85) = 8.53, </w:t>
      </w:r>
      <w:r w:rsidR="00AB4064">
        <w:rPr>
          <w:rFonts w:ascii="Garamond" w:hAnsi="Garamond"/>
          <w:bCs/>
          <w:i/>
        </w:rPr>
        <w:t>p</w:t>
      </w:r>
      <w:r w:rsidR="00AB4064">
        <w:rPr>
          <w:rFonts w:ascii="Garamond" w:hAnsi="Garamond"/>
          <w:bCs/>
        </w:rPr>
        <w:t xml:space="preserve"> &lt; .001, </w:t>
      </w:r>
      <w:r w:rsidR="00AB4064">
        <w:rPr>
          <w:rFonts w:ascii="Garamond" w:hAnsi="Garamond"/>
          <w:bCs/>
          <w:i/>
        </w:rPr>
        <w:t>d</w:t>
      </w:r>
      <w:r w:rsidR="00AB4064">
        <w:rPr>
          <w:rFonts w:ascii="Garamond" w:hAnsi="Garamond"/>
          <w:bCs/>
        </w:rPr>
        <w:t xml:space="preserve"> = 1.22]. This was also reflected in the mean welfare-change scores, which were lower for barters than for monetary transactions (averaging across buyers and sellers) [</w:t>
      </w:r>
      <w:r w:rsidR="00AB4064">
        <w:rPr>
          <w:rFonts w:ascii="Garamond" w:hAnsi="Garamond"/>
          <w:bCs/>
          <w:i/>
        </w:rPr>
        <w:t>t</w:t>
      </w:r>
      <w:r w:rsidR="00AB4064">
        <w:rPr>
          <w:rFonts w:ascii="Garamond" w:hAnsi="Garamond"/>
          <w:bCs/>
        </w:rPr>
        <w:t xml:space="preserve">(81) = 3.59, </w:t>
      </w:r>
      <w:r w:rsidR="00AB4064">
        <w:rPr>
          <w:rFonts w:ascii="Garamond" w:hAnsi="Garamond"/>
          <w:bCs/>
          <w:i/>
        </w:rPr>
        <w:t>p</w:t>
      </w:r>
      <w:r w:rsidR="00AB4064">
        <w:rPr>
          <w:rFonts w:ascii="Garamond" w:hAnsi="Garamond"/>
          <w:bCs/>
        </w:rPr>
        <w:t xml:space="preserve"> &lt; .001, </w:t>
      </w:r>
      <w:r w:rsidR="00AB4064">
        <w:rPr>
          <w:rFonts w:ascii="Garamond" w:hAnsi="Garamond"/>
          <w:bCs/>
          <w:i/>
        </w:rPr>
        <w:t>d</w:t>
      </w:r>
      <w:r w:rsidR="00AB4064">
        <w:rPr>
          <w:rFonts w:ascii="Garamond" w:hAnsi="Garamond"/>
          <w:bCs/>
        </w:rPr>
        <w:t xml:space="preserve"> = 0.40 and </w:t>
      </w:r>
      <w:r w:rsidR="00AB4064">
        <w:rPr>
          <w:rFonts w:ascii="Garamond" w:hAnsi="Garamond"/>
          <w:bCs/>
          <w:i/>
        </w:rPr>
        <w:t>t</w:t>
      </w:r>
      <w:r w:rsidR="00AB4064">
        <w:rPr>
          <w:rFonts w:ascii="Garamond" w:hAnsi="Garamond"/>
          <w:bCs/>
        </w:rPr>
        <w:t xml:space="preserve">(85) = 7.95, </w:t>
      </w:r>
      <w:r w:rsidR="00AB4064">
        <w:rPr>
          <w:rFonts w:ascii="Garamond" w:hAnsi="Garamond"/>
          <w:bCs/>
          <w:i/>
        </w:rPr>
        <w:t>p</w:t>
      </w:r>
      <w:r w:rsidR="00AB4064">
        <w:rPr>
          <w:rFonts w:ascii="Garamond" w:hAnsi="Garamond"/>
          <w:bCs/>
        </w:rPr>
        <w:t xml:space="preserve"> &lt; .001, </w:t>
      </w:r>
      <w:r w:rsidR="00AB4064">
        <w:rPr>
          <w:rFonts w:ascii="Garamond" w:hAnsi="Garamond"/>
          <w:bCs/>
          <w:i/>
        </w:rPr>
        <w:t>d</w:t>
      </w:r>
      <w:r w:rsidR="00AB4064">
        <w:rPr>
          <w:rFonts w:ascii="Garamond" w:hAnsi="Garamond"/>
          <w:bCs/>
        </w:rPr>
        <w:t xml:space="preserve"> = 0.77].</w:t>
      </w:r>
    </w:p>
    <w:p w14:paraId="0F262E8A" w14:textId="77777777" w:rsidR="00B57C28" w:rsidRDefault="00B57C28" w:rsidP="00B57C28">
      <w:pPr>
        <w:spacing w:line="276" w:lineRule="auto"/>
        <w:ind w:firstLine="360"/>
        <w:jc w:val="both"/>
        <w:rPr>
          <w:rFonts w:ascii="Garamond" w:hAnsi="Garamond"/>
          <w:bCs/>
        </w:rPr>
      </w:pPr>
      <w:r>
        <w:rPr>
          <w:rFonts w:ascii="Garamond" w:hAnsi="Garamond"/>
          <w:bCs/>
        </w:rPr>
        <w:t>The main issue of interest here is the comparison between these studies and Study 1, which used the third-person framing. Win–win denial was somewhat less common in Study S5A than in Study 1, reflecting the effect of the subjective wording. Buyers were seen as less likely to lose in Study S5A [</w:t>
      </w:r>
      <w:r>
        <w:rPr>
          <w:rFonts w:ascii="Garamond" w:hAnsi="Garamond"/>
          <w:bCs/>
          <w:i/>
        </w:rPr>
        <w:t>M</w:t>
      </w:r>
      <w:r>
        <w:rPr>
          <w:rFonts w:ascii="Garamond" w:hAnsi="Garamond"/>
          <w:bCs/>
        </w:rPr>
        <w:t xml:space="preserve"> = 1.67, </w:t>
      </w:r>
      <w:r>
        <w:rPr>
          <w:rFonts w:ascii="Garamond" w:hAnsi="Garamond"/>
          <w:bCs/>
          <w:i/>
        </w:rPr>
        <w:t>SD</w:t>
      </w:r>
      <w:r>
        <w:rPr>
          <w:rFonts w:ascii="Garamond" w:hAnsi="Garamond"/>
          <w:bCs/>
        </w:rPr>
        <w:t xml:space="preserve"> = 2.22 out of 8] compared to Study 1 [</w:t>
      </w:r>
      <w:r>
        <w:rPr>
          <w:rFonts w:ascii="Garamond" w:hAnsi="Garamond"/>
          <w:bCs/>
          <w:i/>
        </w:rPr>
        <w:t>M</w:t>
      </w:r>
      <w:r>
        <w:rPr>
          <w:rFonts w:ascii="Garamond" w:hAnsi="Garamond"/>
          <w:bCs/>
        </w:rPr>
        <w:t xml:space="preserve"> = 2.53, </w:t>
      </w:r>
      <w:r>
        <w:rPr>
          <w:rFonts w:ascii="Garamond" w:hAnsi="Garamond"/>
          <w:bCs/>
          <w:i/>
        </w:rPr>
        <w:t>SD</w:t>
      </w:r>
      <w:r>
        <w:rPr>
          <w:rFonts w:ascii="Garamond" w:hAnsi="Garamond"/>
          <w:bCs/>
        </w:rPr>
        <w:t xml:space="preserve"> = 2.47 out of 8; </w:t>
      </w:r>
      <w:r>
        <w:rPr>
          <w:rFonts w:ascii="Garamond" w:hAnsi="Garamond"/>
          <w:bCs/>
          <w:i/>
        </w:rPr>
        <w:t>t</w:t>
      </w:r>
      <w:r>
        <w:rPr>
          <w:rFonts w:ascii="Garamond" w:hAnsi="Garamond"/>
          <w:bCs/>
        </w:rPr>
        <w:t xml:space="preserve">(166) = 2.38, </w:t>
      </w:r>
      <w:r>
        <w:rPr>
          <w:rFonts w:ascii="Garamond" w:hAnsi="Garamond"/>
          <w:bCs/>
          <w:i/>
        </w:rPr>
        <w:t>p</w:t>
      </w:r>
      <w:r>
        <w:rPr>
          <w:rFonts w:ascii="Garamond" w:hAnsi="Garamond"/>
          <w:bCs/>
        </w:rPr>
        <w:t xml:space="preserve"> = .019, </w:t>
      </w:r>
      <w:r>
        <w:rPr>
          <w:rFonts w:ascii="Garamond" w:hAnsi="Garamond"/>
          <w:bCs/>
          <w:i/>
        </w:rPr>
        <w:t>d</w:t>
      </w:r>
      <w:r>
        <w:rPr>
          <w:rFonts w:ascii="Garamond" w:hAnsi="Garamond"/>
          <w:bCs/>
        </w:rPr>
        <w:t xml:space="preserve"> = 0.37], which was also reflected in the mean welfare-change scores [</w:t>
      </w:r>
      <w:r>
        <w:rPr>
          <w:rFonts w:ascii="Garamond" w:hAnsi="Garamond"/>
          <w:bCs/>
          <w:i/>
        </w:rPr>
        <w:t>M</w:t>
      </w:r>
      <w:r>
        <w:rPr>
          <w:rFonts w:ascii="Garamond" w:hAnsi="Garamond"/>
          <w:bCs/>
        </w:rPr>
        <w:t xml:space="preserve"> = 1.30, </w:t>
      </w:r>
      <w:r>
        <w:rPr>
          <w:rFonts w:ascii="Garamond" w:hAnsi="Garamond"/>
          <w:bCs/>
          <w:i/>
        </w:rPr>
        <w:t>SD</w:t>
      </w:r>
      <w:r>
        <w:rPr>
          <w:rFonts w:ascii="Garamond" w:hAnsi="Garamond"/>
          <w:bCs/>
        </w:rPr>
        <w:t xml:space="preserve"> = 1.53 vs. </w:t>
      </w:r>
      <w:r>
        <w:rPr>
          <w:rFonts w:ascii="Garamond" w:hAnsi="Garamond"/>
          <w:bCs/>
          <w:i/>
        </w:rPr>
        <w:t>M</w:t>
      </w:r>
      <w:r>
        <w:rPr>
          <w:rFonts w:ascii="Garamond" w:hAnsi="Garamond"/>
          <w:bCs/>
        </w:rPr>
        <w:t xml:space="preserve"> = 0.69, </w:t>
      </w:r>
      <w:r>
        <w:rPr>
          <w:rFonts w:ascii="Garamond" w:hAnsi="Garamond"/>
          <w:bCs/>
          <w:i/>
        </w:rPr>
        <w:t>SD</w:t>
      </w:r>
      <w:r>
        <w:rPr>
          <w:rFonts w:ascii="Garamond" w:hAnsi="Garamond"/>
          <w:bCs/>
        </w:rPr>
        <w:t xml:space="preserve"> = 1.48; </w:t>
      </w:r>
      <w:r>
        <w:rPr>
          <w:rFonts w:ascii="Garamond" w:hAnsi="Garamond"/>
          <w:bCs/>
          <w:i/>
        </w:rPr>
        <w:t>t</w:t>
      </w:r>
      <w:r>
        <w:rPr>
          <w:rFonts w:ascii="Garamond" w:hAnsi="Garamond"/>
          <w:bCs/>
        </w:rPr>
        <w:t xml:space="preserve">(166) = 2.67, </w:t>
      </w:r>
      <w:r>
        <w:rPr>
          <w:rFonts w:ascii="Garamond" w:hAnsi="Garamond"/>
          <w:bCs/>
          <w:i/>
        </w:rPr>
        <w:t>p</w:t>
      </w:r>
      <w:r>
        <w:rPr>
          <w:rFonts w:ascii="Garamond" w:hAnsi="Garamond"/>
          <w:bCs/>
        </w:rPr>
        <w:t xml:space="preserve"> = .008, </w:t>
      </w:r>
      <w:r>
        <w:rPr>
          <w:rFonts w:ascii="Garamond" w:hAnsi="Garamond"/>
          <w:bCs/>
          <w:i/>
        </w:rPr>
        <w:t>d</w:t>
      </w:r>
      <w:r>
        <w:rPr>
          <w:rFonts w:ascii="Garamond" w:hAnsi="Garamond"/>
          <w:bCs/>
        </w:rPr>
        <w:t xml:space="preserve"> = 0.41]. Analogously, traders were seen as less likely to experience no change in welfare in Study S5A [</w:t>
      </w:r>
      <w:r>
        <w:rPr>
          <w:rFonts w:ascii="Garamond" w:hAnsi="Garamond"/>
          <w:bCs/>
          <w:i/>
        </w:rPr>
        <w:t>M</w:t>
      </w:r>
      <w:r>
        <w:rPr>
          <w:rFonts w:ascii="Garamond" w:hAnsi="Garamond"/>
          <w:bCs/>
        </w:rPr>
        <w:t xml:space="preserve"> = 1.85, </w:t>
      </w:r>
      <w:r>
        <w:rPr>
          <w:rFonts w:ascii="Garamond" w:hAnsi="Garamond"/>
          <w:bCs/>
          <w:i/>
        </w:rPr>
        <w:t>SD</w:t>
      </w:r>
      <w:r>
        <w:rPr>
          <w:rFonts w:ascii="Garamond" w:hAnsi="Garamond"/>
          <w:bCs/>
        </w:rPr>
        <w:t xml:space="preserve"> = 2.64 out of 8] than in Study 1 [</w:t>
      </w:r>
      <w:r>
        <w:rPr>
          <w:rFonts w:ascii="Garamond" w:hAnsi="Garamond"/>
          <w:bCs/>
          <w:i/>
        </w:rPr>
        <w:t>M</w:t>
      </w:r>
      <w:r>
        <w:rPr>
          <w:rFonts w:ascii="Garamond" w:hAnsi="Garamond"/>
          <w:bCs/>
        </w:rPr>
        <w:t xml:space="preserve"> = 3.29, </w:t>
      </w:r>
      <w:r>
        <w:rPr>
          <w:rFonts w:ascii="Garamond" w:hAnsi="Garamond"/>
          <w:bCs/>
          <w:i/>
        </w:rPr>
        <w:t>SD</w:t>
      </w:r>
      <w:r>
        <w:rPr>
          <w:rFonts w:ascii="Garamond" w:hAnsi="Garamond"/>
          <w:bCs/>
        </w:rPr>
        <w:t xml:space="preserve"> = 2.98 out of 8; </w:t>
      </w:r>
      <w:r>
        <w:rPr>
          <w:rFonts w:ascii="Garamond" w:hAnsi="Garamond"/>
          <w:bCs/>
          <w:i/>
        </w:rPr>
        <w:t>t</w:t>
      </w:r>
      <w:r>
        <w:rPr>
          <w:rFonts w:ascii="Garamond" w:hAnsi="Garamond"/>
          <w:bCs/>
        </w:rPr>
        <w:t xml:space="preserve">(166) = 3.30, </w:t>
      </w:r>
      <w:r>
        <w:rPr>
          <w:rFonts w:ascii="Garamond" w:hAnsi="Garamond"/>
          <w:bCs/>
          <w:i/>
        </w:rPr>
        <w:t>p</w:t>
      </w:r>
      <w:r>
        <w:rPr>
          <w:rFonts w:ascii="Garamond" w:hAnsi="Garamond"/>
          <w:bCs/>
        </w:rPr>
        <w:t xml:space="preserve"> = .001, </w:t>
      </w:r>
      <w:r>
        <w:rPr>
          <w:rFonts w:ascii="Garamond" w:hAnsi="Garamond"/>
          <w:bCs/>
          <w:i/>
        </w:rPr>
        <w:t>d</w:t>
      </w:r>
      <w:r>
        <w:rPr>
          <w:rFonts w:ascii="Garamond" w:hAnsi="Garamond"/>
          <w:bCs/>
        </w:rPr>
        <w:t xml:space="preserve"> = 0.51], also reflected in the mean welfare-change scores [</w:t>
      </w:r>
      <w:r>
        <w:rPr>
          <w:rFonts w:ascii="Garamond" w:hAnsi="Garamond"/>
          <w:bCs/>
          <w:i/>
        </w:rPr>
        <w:t>M</w:t>
      </w:r>
      <w:r>
        <w:rPr>
          <w:rFonts w:ascii="Garamond" w:hAnsi="Garamond"/>
          <w:bCs/>
        </w:rPr>
        <w:t xml:space="preserve"> = 1.25, </w:t>
      </w:r>
      <w:r>
        <w:rPr>
          <w:rFonts w:ascii="Garamond" w:hAnsi="Garamond"/>
          <w:bCs/>
          <w:i/>
        </w:rPr>
        <w:t>SD</w:t>
      </w:r>
      <w:r>
        <w:rPr>
          <w:rFonts w:ascii="Garamond" w:hAnsi="Garamond"/>
          <w:bCs/>
        </w:rPr>
        <w:t xml:space="preserve"> = 1.27 vs. </w:t>
      </w:r>
      <w:r>
        <w:rPr>
          <w:rFonts w:ascii="Garamond" w:hAnsi="Garamond"/>
          <w:bCs/>
          <w:i/>
        </w:rPr>
        <w:t>M</w:t>
      </w:r>
      <w:r>
        <w:rPr>
          <w:rFonts w:ascii="Garamond" w:hAnsi="Garamond"/>
          <w:bCs/>
        </w:rPr>
        <w:t xml:space="preserve"> = 0.51, </w:t>
      </w:r>
      <w:r>
        <w:rPr>
          <w:rFonts w:ascii="Garamond" w:hAnsi="Garamond"/>
          <w:bCs/>
          <w:i/>
        </w:rPr>
        <w:t>SD</w:t>
      </w:r>
      <w:r>
        <w:rPr>
          <w:rFonts w:ascii="Garamond" w:hAnsi="Garamond"/>
          <w:bCs/>
        </w:rPr>
        <w:t xml:space="preserve"> = 0.93; </w:t>
      </w:r>
      <w:r>
        <w:rPr>
          <w:rFonts w:ascii="Garamond" w:hAnsi="Garamond"/>
          <w:bCs/>
          <w:i/>
        </w:rPr>
        <w:t>t</w:t>
      </w:r>
      <w:r>
        <w:rPr>
          <w:rFonts w:ascii="Garamond" w:hAnsi="Garamond"/>
          <w:bCs/>
        </w:rPr>
        <w:t xml:space="preserve">(166) = 4.34, </w:t>
      </w:r>
      <w:r>
        <w:rPr>
          <w:rFonts w:ascii="Garamond" w:hAnsi="Garamond"/>
          <w:bCs/>
          <w:i/>
        </w:rPr>
        <w:t>p</w:t>
      </w:r>
      <w:r>
        <w:rPr>
          <w:rFonts w:ascii="Garamond" w:hAnsi="Garamond"/>
          <w:bCs/>
        </w:rPr>
        <w:t xml:space="preserve"> &lt; .001, </w:t>
      </w:r>
      <w:r>
        <w:rPr>
          <w:rFonts w:ascii="Garamond" w:hAnsi="Garamond"/>
          <w:bCs/>
          <w:i/>
        </w:rPr>
        <w:t>d</w:t>
      </w:r>
      <w:r>
        <w:rPr>
          <w:rFonts w:ascii="Garamond" w:hAnsi="Garamond"/>
          <w:bCs/>
        </w:rPr>
        <w:t xml:space="preserve"> = 0.67]. These results support the theory-of-mind account, in that subjectively wording the questions to emphasize the buyers’ and traders’ perspectives reduced win–win denial.</w:t>
      </w:r>
    </w:p>
    <w:p w14:paraId="3E4599B3" w14:textId="512A7263" w:rsidR="00B57C28" w:rsidRPr="00EA11CF" w:rsidRDefault="00B57C28" w:rsidP="00B57C28">
      <w:pPr>
        <w:spacing w:line="276" w:lineRule="auto"/>
        <w:ind w:firstLine="360"/>
        <w:jc w:val="both"/>
        <w:rPr>
          <w:rFonts w:ascii="Garamond" w:hAnsi="Garamond"/>
          <w:bCs/>
        </w:rPr>
      </w:pPr>
      <w:r>
        <w:rPr>
          <w:rFonts w:ascii="Garamond" w:hAnsi="Garamond"/>
          <w:bCs/>
        </w:rPr>
        <w:t>However, win–win denial differed little between Study S5B and Study 1, which varied only in using first-person versus third-person wording. Buyers were seen as equally likely to lose from their transactions across the two studies [</w:t>
      </w:r>
      <w:r>
        <w:rPr>
          <w:rFonts w:ascii="Garamond" w:hAnsi="Garamond"/>
          <w:bCs/>
          <w:i/>
        </w:rPr>
        <w:t>t</w:t>
      </w:r>
      <w:r>
        <w:rPr>
          <w:rFonts w:ascii="Garamond" w:hAnsi="Garamond"/>
          <w:bCs/>
        </w:rPr>
        <w:t xml:space="preserve">(170) = 0.59, </w:t>
      </w:r>
      <w:r>
        <w:rPr>
          <w:rFonts w:ascii="Garamond" w:hAnsi="Garamond"/>
          <w:bCs/>
          <w:i/>
        </w:rPr>
        <w:t>p</w:t>
      </w:r>
      <w:r>
        <w:rPr>
          <w:rFonts w:ascii="Garamond" w:hAnsi="Garamond"/>
          <w:bCs/>
        </w:rPr>
        <w:t xml:space="preserve"> = .56, </w:t>
      </w:r>
      <w:r>
        <w:rPr>
          <w:rFonts w:ascii="Garamond" w:hAnsi="Garamond"/>
          <w:bCs/>
          <w:i/>
        </w:rPr>
        <w:t>d</w:t>
      </w:r>
      <w:r>
        <w:rPr>
          <w:rFonts w:ascii="Garamond" w:hAnsi="Garamond"/>
          <w:bCs/>
        </w:rPr>
        <w:t xml:space="preserve"> = 0.09], resulting in similar mean welfare-</w:t>
      </w:r>
      <w:r>
        <w:rPr>
          <w:rFonts w:ascii="Garamond" w:hAnsi="Garamond"/>
          <w:bCs/>
        </w:rPr>
        <w:lastRenderedPageBreak/>
        <w:t>change scores [</w:t>
      </w:r>
      <w:r>
        <w:rPr>
          <w:rFonts w:ascii="Garamond" w:hAnsi="Garamond"/>
          <w:bCs/>
          <w:i/>
        </w:rPr>
        <w:t>t</w:t>
      </w:r>
      <w:r>
        <w:rPr>
          <w:rFonts w:ascii="Garamond" w:hAnsi="Garamond"/>
          <w:bCs/>
        </w:rPr>
        <w:t xml:space="preserve">(170) = 0.94, </w:t>
      </w:r>
      <w:r>
        <w:rPr>
          <w:rFonts w:ascii="Garamond" w:hAnsi="Garamond"/>
          <w:bCs/>
          <w:i/>
        </w:rPr>
        <w:t>p</w:t>
      </w:r>
      <w:r>
        <w:rPr>
          <w:rFonts w:ascii="Garamond" w:hAnsi="Garamond"/>
          <w:bCs/>
        </w:rPr>
        <w:t xml:space="preserve"> = .35, </w:t>
      </w:r>
      <w:r>
        <w:rPr>
          <w:rFonts w:ascii="Garamond" w:hAnsi="Garamond"/>
          <w:bCs/>
          <w:i/>
        </w:rPr>
        <w:t>d</w:t>
      </w:r>
      <w:r>
        <w:rPr>
          <w:rFonts w:ascii="Garamond" w:hAnsi="Garamond"/>
          <w:bCs/>
        </w:rPr>
        <w:t xml:space="preserve"> = 0.14]. Traders were seen as somewhat less likely to experience no change in welfare in Study S5B than in Study 1 [</w:t>
      </w:r>
      <w:r>
        <w:rPr>
          <w:rFonts w:ascii="Garamond" w:hAnsi="Garamond"/>
          <w:bCs/>
          <w:i/>
        </w:rPr>
        <w:t>M</w:t>
      </w:r>
      <w:r>
        <w:rPr>
          <w:rFonts w:ascii="Garamond" w:hAnsi="Garamond"/>
          <w:bCs/>
        </w:rPr>
        <w:t xml:space="preserve"> = 2.47, </w:t>
      </w:r>
      <w:r>
        <w:rPr>
          <w:rFonts w:ascii="Garamond" w:hAnsi="Garamond"/>
          <w:bCs/>
          <w:i/>
        </w:rPr>
        <w:t>SD</w:t>
      </w:r>
      <w:r>
        <w:rPr>
          <w:rFonts w:ascii="Garamond" w:hAnsi="Garamond"/>
          <w:bCs/>
        </w:rPr>
        <w:t xml:space="preserve"> = 2.30 vs. </w:t>
      </w:r>
      <w:r>
        <w:rPr>
          <w:rFonts w:ascii="Garamond" w:hAnsi="Garamond"/>
          <w:bCs/>
          <w:i/>
        </w:rPr>
        <w:t>M</w:t>
      </w:r>
      <w:r>
        <w:rPr>
          <w:rFonts w:ascii="Garamond" w:hAnsi="Garamond"/>
          <w:bCs/>
        </w:rPr>
        <w:t xml:space="preserve"> = 3.29, </w:t>
      </w:r>
      <w:r>
        <w:rPr>
          <w:rFonts w:ascii="Garamond" w:hAnsi="Garamond"/>
          <w:bCs/>
          <w:i/>
        </w:rPr>
        <w:t>SD</w:t>
      </w:r>
      <w:r>
        <w:rPr>
          <w:rFonts w:ascii="Garamond" w:hAnsi="Garamond"/>
          <w:bCs/>
        </w:rPr>
        <w:t xml:space="preserve"> = 2.98 out of 8; </w:t>
      </w:r>
      <w:r>
        <w:rPr>
          <w:rFonts w:ascii="Garamond" w:hAnsi="Garamond"/>
          <w:bCs/>
          <w:i/>
        </w:rPr>
        <w:t>t</w:t>
      </w:r>
      <w:r>
        <w:rPr>
          <w:rFonts w:ascii="Garamond" w:hAnsi="Garamond"/>
          <w:bCs/>
        </w:rPr>
        <w:t xml:space="preserve">(170) = 2.04, </w:t>
      </w:r>
      <w:r>
        <w:rPr>
          <w:rFonts w:ascii="Garamond" w:hAnsi="Garamond"/>
          <w:bCs/>
          <w:i/>
        </w:rPr>
        <w:t>p</w:t>
      </w:r>
      <w:r>
        <w:rPr>
          <w:rFonts w:ascii="Garamond" w:hAnsi="Garamond"/>
          <w:bCs/>
        </w:rPr>
        <w:t xml:space="preserve"> = .043,</w:t>
      </w:r>
      <w:r>
        <w:rPr>
          <w:rFonts w:ascii="Garamond" w:hAnsi="Garamond"/>
          <w:bCs/>
          <w:i/>
        </w:rPr>
        <w:t xml:space="preserve"> d</w:t>
      </w:r>
      <w:r>
        <w:rPr>
          <w:rFonts w:ascii="Garamond" w:hAnsi="Garamond"/>
          <w:bCs/>
        </w:rPr>
        <w:t xml:space="preserve"> = 0.31], but this did not translate into a significant difference in mean welfare-change scores [</w:t>
      </w:r>
      <w:r>
        <w:rPr>
          <w:rFonts w:ascii="Garamond" w:hAnsi="Garamond"/>
          <w:bCs/>
          <w:i/>
        </w:rPr>
        <w:t>t</w:t>
      </w:r>
      <w:r>
        <w:rPr>
          <w:rFonts w:ascii="Garamond" w:hAnsi="Garamond"/>
          <w:bCs/>
        </w:rPr>
        <w:t xml:space="preserve">(170) = 1.17, </w:t>
      </w:r>
      <w:r>
        <w:rPr>
          <w:rFonts w:ascii="Garamond" w:hAnsi="Garamond"/>
          <w:bCs/>
          <w:i/>
        </w:rPr>
        <w:t>p</w:t>
      </w:r>
      <w:r>
        <w:rPr>
          <w:rFonts w:ascii="Garamond" w:hAnsi="Garamond"/>
          <w:bCs/>
        </w:rPr>
        <w:t xml:space="preserve"> = .24, </w:t>
      </w:r>
      <w:r>
        <w:rPr>
          <w:rFonts w:ascii="Garamond" w:hAnsi="Garamond"/>
          <w:bCs/>
          <w:i/>
        </w:rPr>
        <w:t>d</w:t>
      </w:r>
      <w:r>
        <w:rPr>
          <w:rFonts w:ascii="Garamond" w:hAnsi="Garamond"/>
          <w:bCs/>
        </w:rPr>
        <w:t xml:space="preserve"> = 0.18]. Overall, Figure S5 shows that the distributions are fairly similar between Studies 1 and S5B, which supports the theory-of-mind account by suggesting that particip</w:t>
      </w:r>
      <w:r w:rsidRPr="008F1493">
        <w:rPr>
          <w:rFonts w:ascii="Garamond" w:hAnsi="Garamond"/>
          <w:bCs/>
        </w:rPr>
        <w:t>ants are substituting a question about buyers’ preferences with a question about their own.</w:t>
      </w:r>
    </w:p>
    <w:p w14:paraId="06365D3F" w14:textId="5DE91363" w:rsidR="008F1493" w:rsidRPr="008F1493" w:rsidRDefault="008F1493" w:rsidP="008F1493">
      <w:pPr>
        <w:spacing w:line="276" w:lineRule="auto"/>
        <w:ind w:left="720" w:right="720"/>
        <w:jc w:val="both"/>
        <w:rPr>
          <w:rFonts w:ascii="Garamond" w:hAnsi="Garamond"/>
          <w:bCs/>
          <w:highlight w:val="yellow"/>
        </w:rPr>
      </w:pPr>
      <w:r>
        <w:rPr>
          <w:noProof/>
        </w:rPr>
        <w:drawing>
          <wp:anchor distT="0" distB="0" distL="114300" distR="114300" simplePos="0" relativeHeight="251680768" behindDoc="0" locked="0" layoutInCell="1" allowOverlap="1" wp14:anchorId="6EA3F05B" wp14:editId="5F2B1FAB">
            <wp:simplePos x="0" y="0"/>
            <wp:positionH relativeFrom="column">
              <wp:posOffset>-405765</wp:posOffset>
            </wp:positionH>
            <wp:positionV relativeFrom="paragraph">
              <wp:posOffset>0</wp:posOffset>
            </wp:positionV>
            <wp:extent cx="6821170" cy="3100070"/>
            <wp:effectExtent l="0" t="0" r="1143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221273">
        <w:rPr>
          <w:rFonts w:ascii="Garamond" w:hAnsi="Garamond"/>
          <w:bCs/>
          <w:i/>
          <w:sz w:val="20"/>
          <w:szCs w:val="20"/>
        </w:rPr>
        <w:t>Figure S</w:t>
      </w:r>
      <w:r w:rsidR="00014C02">
        <w:rPr>
          <w:rFonts w:ascii="Garamond" w:hAnsi="Garamond"/>
          <w:bCs/>
          <w:i/>
          <w:sz w:val="20"/>
          <w:szCs w:val="20"/>
        </w:rPr>
        <w:t>5</w:t>
      </w:r>
      <w:r w:rsidRPr="00221273">
        <w:rPr>
          <w:rFonts w:ascii="Garamond" w:hAnsi="Garamond"/>
          <w:bCs/>
          <w:sz w:val="20"/>
          <w:szCs w:val="20"/>
        </w:rPr>
        <w:t>. Proportion</w:t>
      </w:r>
      <w:r w:rsidRPr="003E176C">
        <w:rPr>
          <w:rFonts w:ascii="Garamond" w:hAnsi="Garamond"/>
          <w:bCs/>
          <w:sz w:val="20"/>
          <w:szCs w:val="20"/>
        </w:rPr>
        <w:t xml:space="preserve"> of transactions perceived as having negative, zero, or positive impact on buyers, sellers, and traders</w:t>
      </w:r>
      <w:r>
        <w:rPr>
          <w:rFonts w:ascii="Garamond" w:hAnsi="Garamond"/>
          <w:bCs/>
          <w:sz w:val="20"/>
          <w:szCs w:val="20"/>
        </w:rPr>
        <w:t xml:space="preserve"> when transactions were framed</w:t>
      </w:r>
      <w:r w:rsidRPr="003E176C">
        <w:rPr>
          <w:rFonts w:ascii="Garamond" w:hAnsi="Garamond"/>
          <w:bCs/>
          <w:sz w:val="20"/>
          <w:szCs w:val="20"/>
        </w:rPr>
        <w:t xml:space="preserve"> in </w:t>
      </w:r>
      <w:r>
        <w:rPr>
          <w:rFonts w:ascii="Garamond" w:hAnsi="Garamond"/>
          <w:bCs/>
          <w:sz w:val="20"/>
          <w:szCs w:val="20"/>
        </w:rPr>
        <w:t xml:space="preserve">the </w:t>
      </w:r>
      <w:r>
        <w:rPr>
          <w:rFonts w:ascii="Garamond" w:hAnsi="Garamond"/>
          <w:bCs/>
          <w:i/>
          <w:sz w:val="20"/>
          <w:szCs w:val="20"/>
        </w:rPr>
        <w:t xml:space="preserve">third-person </w:t>
      </w:r>
      <w:r>
        <w:rPr>
          <w:rFonts w:ascii="Garamond" w:hAnsi="Garamond"/>
          <w:bCs/>
          <w:sz w:val="20"/>
          <w:szCs w:val="20"/>
        </w:rPr>
        <w:t xml:space="preserve">(Study 1), in terms of the transactors’ </w:t>
      </w:r>
      <w:r>
        <w:rPr>
          <w:rFonts w:ascii="Garamond" w:hAnsi="Garamond"/>
          <w:bCs/>
          <w:i/>
          <w:sz w:val="20"/>
          <w:szCs w:val="20"/>
        </w:rPr>
        <w:t xml:space="preserve">subjective </w:t>
      </w:r>
      <w:r>
        <w:rPr>
          <w:rFonts w:ascii="Garamond" w:hAnsi="Garamond"/>
          <w:bCs/>
          <w:sz w:val="20"/>
          <w:szCs w:val="20"/>
        </w:rPr>
        <w:t>preferences (Study S</w:t>
      </w:r>
      <w:r w:rsidR="00014C02">
        <w:rPr>
          <w:rFonts w:ascii="Garamond" w:hAnsi="Garamond"/>
          <w:bCs/>
          <w:sz w:val="20"/>
          <w:szCs w:val="20"/>
        </w:rPr>
        <w:t>5</w:t>
      </w:r>
      <w:r>
        <w:rPr>
          <w:rFonts w:ascii="Garamond" w:hAnsi="Garamond"/>
          <w:bCs/>
          <w:sz w:val="20"/>
          <w:szCs w:val="20"/>
        </w:rPr>
        <w:t xml:space="preserve">A), and in the </w:t>
      </w:r>
      <w:r>
        <w:rPr>
          <w:rFonts w:ascii="Garamond" w:hAnsi="Garamond"/>
          <w:bCs/>
          <w:i/>
          <w:sz w:val="20"/>
          <w:szCs w:val="20"/>
        </w:rPr>
        <w:t>first-person</w:t>
      </w:r>
      <w:r>
        <w:rPr>
          <w:rFonts w:ascii="Garamond" w:hAnsi="Garamond"/>
          <w:bCs/>
          <w:sz w:val="20"/>
          <w:szCs w:val="20"/>
        </w:rPr>
        <w:t xml:space="preserve"> (Study S</w:t>
      </w:r>
      <w:r w:rsidR="00014C02">
        <w:rPr>
          <w:rFonts w:ascii="Garamond" w:hAnsi="Garamond"/>
          <w:bCs/>
          <w:sz w:val="20"/>
          <w:szCs w:val="20"/>
        </w:rPr>
        <w:t>5</w:t>
      </w:r>
      <w:r>
        <w:rPr>
          <w:rFonts w:ascii="Garamond" w:hAnsi="Garamond"/>
          <w:bCs/>
          <w:sz w:val="20"/>
          <w:szCs w:val="20"/>
        </w:rPr>
        <w:t>B).</w:t>
      </w:r>
    </w:p>
    <w:p w14:paraId="78C49742" w14:textId="77777777" w:rsidR="008F1493" w:rsidRDefault="008F1493" w:rsidP="00AB0183">
      <w:pPr>
        <w:spacing w:line="276" w:lineRule="auto"/>
        <w:ind w:firstLine="360"/>
        <w:jc w:val="both"/>
        <w:rPr>
          <w:rFonts w:ascii="Garamond" w:hAnsi="Garamond"/>
          <w:bCs/>
        </w:rPr>
      </w:pPr>
    </w:p>
    <w:p w14:paraId="0600433E" w14:textId="5705B661" w:rsidR="00B078AE" w:rsidRDefault="008F1493" w:rsidP="00B078AE">
      <w:pPr>
        <w:spacing w:line="276" w:lineRule="auto"/>
        <w:ind w:firstLine="360"/>
        <w:jc w:val="both"/>
        <w:rPr>
          <w:rFonts w:ascii="Garamond" w:hAnsi="Garamond"/>
          <w:bCs/>
        </w:rPr>
      </w:pPr>
      <w:r w:rsidRPr="008F1493">
        <w:rPr>
          <w:rFonts w:ascii="Garamond" w:hAnsi="Garamond"/>
          <w:bCs/>
        </w:rPr>
        <w:t>Ov</w:t>
      </w:r>
      <w:r>
        <w:rPr>
          <w:rFonts w:ascii="Garamond" w:hAnsi="Garamond"/>
          <w:bCs/>
        </w:rPr>
        <w:t xml:space="preserve">erall, these results provide further support for </w:t>
      </w:r>
      <w:r w:rsidR="00E9553E">
        <w:rPr>
          <w:rFonts w:ascii="Garamond" w:hAnsi="Garamond"/>
          <w:bCs/>
        </w:rPr>
        <w:t>theory-of-mind errors</w:t>
      </w:r>
      <w:r>
        <w:rPr>
          <w:rFonts w:ascii="Garamond" w:hAnsi="Garamond"/>
          <w:bCs/>
        </w:rPr>
        <w:t xml:space="preserve"> as a partial explanation of win–win denial. Study S</w:t>
      </w:r>
      <w:r w:rsidR="00014C02">
        <w:rPr>
          <w:rFonts w:ascii="Garamond" w:hAnsi="Garamond"/>
          <w:bCs/>
        </w:rPr>
        <w:t>5</w:t>
      </w:r>
      <w:r>
        <w:rPr>
          <w:rFonts w:ascii="Garamond" w:hAnsi="Garamond"/>
          <w:bCs/>
        </w:rPr>
        <w:t>A tests another way of cueing perspective-taking, finding similar results (albeit smaller in magnitude) to Studies 3 and S3, which provided a more direct route into the buyers’ mental states by giving their reasons. Study S</w:t>
      </w:r>
      <w:r w:rsidR="00014C02">
        <w:rPr>
          <w:rFonts w:ascii="Garamond" w:hAnsi="Garamond"/>
          <w:bCs/>
        </w:rPr>
        <w:t>5</w:t>
      </w:r>
      <w:r>
        <w:rPr>
          <w:rFonts w:ascii="Garamond" w:hAnsi="Garamond"/>
          <w:bCs/>
        </w:rPr>
        <w:t>B, on the other hand, framed transactions in the first person and found that people answer these first-person questions in a very similar way to third-person questions, suggesting that they substitute their own preferences as they evaluate whether others gain o</w:t>
      </w:r>
      <w:r w:rsidR="00B078AE">
        <w:rPr>
          <w:rFonts w:ascii="Garamond" w:hAnsi="Garamond"/>
          <w:bCs/>
        </w:rPr>
        <w:t>r lose from their transactions.</w:t>
      </w:r>
    </w:p>
    <w:p w14:paraId="44432FFA" w14:textId="6C53D704" w:rsidR="00B73325" w:rsidRPr="008137EF" w:rsidRDefault="008F1493" w:rsidP="00B078AE">
      <w:pPr>
        <w:spacing w:line="276" w:lineRule="auto"/>
        <w:ind w:firstLine="360"/>
        <w:jc w:val="both"/>
        <w:rPr>
          <w:rFonts w:ascii="Garamond" w:hAnsi="Garamond"/>
          <w:bCs/>
        </w:rPr>
      </w:pPr>
      <w:r>
        <w:rPr>
          <w:rFonts w:ascii="Garamond" w:hAnsi="Garamond"/>
          <w:bCs/>
        </w:rPr>
        <w:t xml:space="preserve">As one of the reasons why markets are possible is that we all place different subjective valuations on things, this finding represents a fundamental misconception about transactions and helps to explain the incidence of zero-sum thinking. If two parties have identical preferences and make a trade, one of them is winning and the other is losing, whereas if they have different preferences (e.g., because one of them can acquire the good at a lower price or because she gains less utility than the other </w:t>
      </w:r>
      <w:r w:rsidR="00B078AE">
        <w:rPr>
          <w:rFonts w:ascii="Garamond" w:hAnsi="Garamond"/>
          <w:bCs/>
        </w:rPr>
        <w:t>from the product), positive-sum transactions occur. Zero-sum thinking appears to be in part a failure of perspective-taking.</w:t>
      </w:r>
    </w:p>
    <w:p w14:paraId="36A17D62" w14:textId="77777777" w:rsidR="00B078AE" w:rsidRDefault="00B078AE" w:rsidP="00B078AE">
      <w:pPr>
        <w:spacing w:line="276" w:lineRule="auto"/>
        <w:rPr>
          <w:rFonts w:ascii="Garamond" w:hAnsi="Garamond"/>
          <w:bCs/>
        </w:rPr>
      </w:pPr>
    </w:p>
    <w:p w14:paraId="6E60DBE3" w14:textId="27FA89AB" w:rsidR="00277F3F" w:rsidRDefault="00B57C28" w:rsidP="00B078AE">
      <w:pPr>
        <w:spacing w:line="276" w:lineRule="auto"/>
        <w:jc w:val="center"/>
        <w:rPr>
          <w:rFonts w:ascii="Garamond" w:hAnsi="Garamond"/>
          <w:b/>
          <w:bCs/>
          <w:sz w:val="28"/>
          <w:szCs w:val="28"/>
        </w:rPr>
      </w:pPr>
      <w:r>
        <w:rPr>
          <w:rFonts w:ascii="Garamond" w:hAnsi="Garamond"/>
          <w:b/>
          <w:bCs/>
          <w:sz w:val="28"/>
          <w:szCs w:val="28"/>
        </w:rPr>
        <w:br w:type="column"/>
      </w:r>
      <w:r w:rsidR="00735B3E" w:rsidRPr="00C804AF">
        <w:rPr>
          <w:rFonts w:ascii="Garamond" w:hAnsi="Garamond"/>
          <w:b/>
          <w:bCs/>
          <w:sz w:val="28"/>
          <w:szCs w:val="28"/>
        </w:rPr>
        <w:lastRenderedPageBreak/>
        <w:t>Part</w:t>
      </w:r>
      <w:r w:rsidR="00277F3F" w:rsidRPr="00C804AF">
        <w:rPr>
          <w:rFonts w:ascii="Garamond" w:hAnsi="Garamond"/>
          <w:b/>
          <w:bCs/>
          <w:sz w:val="28"/>
          <w:szCs w:val="28"/>
        </w:rPr>
        <w:t xml:space="preserve"> </w:t>
      </w:r>
      <w:r w:rsidR="005C48F3" w:rsidRPr="00C804AF">
        <w:rPr>
          <w:rFonts w:ascii="Garamond" w:hAnsi="Garamond"/>
          <w:b/>
          <w:bCs/>
          <w:sz w:val="28"/>
          <w:szCs w:val="28"/>
        </w:rPr>
        <w:t>C</w:t>
      </w:r>
      <w:r w:rsidR="00277F3F" w:rsidRPr="00C804AF">
        <w:rPr>
          <w:rFonts w:ascii="Garamond" w:hAnsi="Garamond"/>
          <w:b/>
          <w:bCs/>
          <w:sz w:val="28"/>
          <w:szCs w:val="28"/>
        </w:rPr>
        <w:t>: Individual Differences</w:t>
      </w:r>
    </w:p>
    <w:p w14:paraId="14E0971E" w14:textId="77777777" w:rsidR="00277F3F" w:rsidRPr="00B078AE" w:rsidRDefault="00277F3F" w:rsidP="00277F3F">
      <w:pPr>
        <w:spacing w:line="276" w:lineRule="auto"/>
        <w:jc w:val="center"/>
        <w:rPr>
          <w:rFonts w:ascii="Garamond" w:hAnsi="Garamond"/>
          <w:b/>
          <w:bCs/>
        </w:rPr>
      </w:pPr>
    </w:p>
    <w:p w14:paraId="3130F48D" w14:textId="07852CC8" w:rsidR="00500E6A" w:rsidRPr="008137EF" w:rsidRDefault="00500E6A" w:rsidP="00500E6A">
      <w:pPr>
        <w:spacing w:line="276" w:lineRule="auto"/>
        <w:ind w:firstLine="360"/>
        <w:jc w:val="both"/>
        <w:rPr>
          <w:rFonts w:ascii="Garamond" w:hAnsi="Garamond"/>
          <w:bCs/>
        </w:rPr>
      </w:pPr>
      <w:r w:rsidRPr="008137EF">
        <w:rPr>
          <w:rFonts w:ascii="Garamond" w:hAnsi="Garamond"/>
          <w:bCs/>
        </w:rPr>
        <w:t xml:space="preserve">Each experiment </w:t>
      </w:r>
      <w:r w:rsidR="00B57C28">
        <w:rPr>
          <w:rFonts w:ascii="Garamond" w:hAnsi="Garamond"/>
          <w:bCs/>
        </w:rPr>
        <w:t>measured</w:t>
      </w:r>
      <w:r w:rsidRPr="008137EF">
        <w:rPr>
          <w:rFonts w:ascii="Garamond" w:hAnsi="Garamond"/>
          <w:bCs/>
        </w:rPr>
        <w:t xml:space="preserve"> </w:t>
      </w:r>
      <w:r>
        <w:rPr>
          <w:rFonts w:ascii="Garamond" w:hAnsi="Garamond"/>
          <w:bCs/>
        </w:rPr>
        <w:t>participants’</w:t>
      </w:r>
      <w:r w:rsidRPr="008137EF">
        <w:rPr>
          <w:rFonts w:ascii="Garamond" w:hAnsi="Garamond"/>
          <w:bCs/>
        </w:rPr>
        <w:t xml:space="preserve"> educational background and political views. This allowed us to test hypotheses about what traits are associated with zero-sum thinking. For instance, one might imagine that economics training would attenuate zero-sum thinking, and one could plausibly argue for either liberals </w:t>
      </w:r>
      <w:r w:rsidRPr="008137EF">
        <w:rPr>
          <w:rFonts w:ascii="Garamond" w:hAnsi="Garamond"/>
          <w:bCs/>
          <w:i/>
        </w:rPr>
        <w:t>or</w:t>
      </w:r>
      <w:r w:rsidRPr="008137EF">
        <w:rPr>
          <w:rFonts w:ascii="Garamond" w:hAnsi="Garamond"/>
          <w:bCs/>
        </w:rPr>
        <w:t xml:space="preserve"> conservatives espousing zero-sum attitudes more often</w:t>
      </w:r>
      <w:r w:rsidR="00B57C28">
        <w:rPr>
          <w:rFonts w:ascii="Garamond" w:hAnsi="Garamond"/>
          <w:bCs/>
        </w:rPr>
        <w:t xml:space="preserve"> (see </w:t>
      </w:r>
      <w:proofErr w:type="spellStart"/>
      <w:r w:rsidR="00B57C28">
        <w:rPr>
          <w:rFonts w:ascii="Garamond" w:hAnsi="Garamond"/>
          <w:bCs/>
        </w:rPr>
        <w:t>Davidai</w:t>
      </w:r>
      <w:proofErr w:type="spellEnd"/>
      <w:r w:rsidR="00B57C28">
        <w:rPr>
          <w:rFonts w:ascii="Garamond" w:hAnsi="Garamond"/>
          <w:bCs/>
        </w:rPr>
        <w:t xml:space="preserve"> &amp; </w:t>
      </w:r>
      <w:proofErr w:type="spellStart"/>
      <w:r w:rsidR="00B57C28">
        <w:rPr>
          <w:rFonts w:ascii="Garamond" w:hAnsi="Garamond"/>
          <w:bCs/>
        </w:rPr>
        <w:t>Ongis</w:t>
      </w:r>
      <w:proofErr w:type="spellEnd"/>
      <w:r w:rsidR="00B57C28">
        <w:rPr>
          <w:rFonts w:ascii="Garamond" w:hAnsi="Garamond"/>
          <w:bCs/>
        </w:rPr>
        <w:t>, 2019</w:t>
      </w:r>
      <w:r w:rsidR="00B57C28">
        <w:rPr>
          <w:rFonts w:ascii="Garamond" w:hAnsi="Garamond"/>
          <w:bCs/>
        </w:rPr>
        <w:t>)</w:t>
      </w:r>
      <w:r w:rsidRPr="008137EF">
        <w:rPr>
          <w:rFonts w:ascii="Garamond" w:hAnsi="Garamond"/>
          <w:bCs/>
        </w:rPr>
        <w:t>.</w:t>
      </w:r>
    </w:p>
    <w:p w14:paraId="54E80DE3" w14:textId="608A31F6" w:rsidR="00B57C28" w:rsidRDefault="00500E6A" w:rsidP="00B57C28">
      <w:pPr>
        <w:spacing w:line="276" w:lineRule="auto"/>
        <w:ind w:firstLine="360"/>
        <w:jc w:val="both"/>
        <w:rPr>
          <w:rFonts w:ascii="Garamond" w:hAnsi="Garamond"/>
          <w:bCs/>
        </w:rPr>
      </w:pPr>
      <w:r w:rsidRPr="008137EF">
        <w:rPr>
          <w:rFonts w:ascii="Garamond" w:hAnsi="Garamond"/>
          <w:bCs/>
        </w:rPr>
        <w:t xml:space="preserve">To test the impact of these variables, we built a </w:t>
      </w:r>
      <w:r w:rsidR="00CA78AE">
        <w:rPr>
          <w:rFonts w:ascii="Garamond" w:hAnsi="Garamond"/>
          <w:bCs/>
        </w:rPr>
        <w:t xml:space="preserve">hierarchical </w:t>
      </w:r>
      <w:r w:rsidRPr="008137EF">
        <w:rPr>
          <w:rFonts w:ascii="Garamond" w:hAnsi="Garamond"/>
          <w:bCs/>
        </w:rPr>
        <w:t>linear m</w:t>
      </w:r>
      <w:r>
        <w:rPr>
          <w:rFonts w:ascii="Garamond" w:hAnsi="Garamond"/>
          <w:bCs/>
        </w:rPr>
        <w:t xml:space="preserve">odel, using the data from all </w:t>
      </w:r>
      <w:r w:rsidRPr="008137EF">
        <w:rPr>
          <w:rFonts w:ascii="Garamond" w:hAnsi="Garamond"/>
          <w:bCs/>
        </w:rPr>
        <w:t xml:space="preserve">experiments </w:t>
      </w:r>
      <w:r w:rsidR="00660402">
        <w:rPr>
          <w:rFonts w:ascii="Garamond" w:hAnsi="Garamond"/>
          <w:bCs/>
        </w:rPr>
        <w:t xml:space="preserve">in the main text and </w:t>
      </w:r>
      <w:r w:rsidR="00735B3E">
        <w:rPr>
          <w:rFonts w:ascii="Garamond" w:hAnsi="Garamond"/>
          <w:bCs/>
        </w:rPr>
        <w:t>S</w:t>
      </w:r>
      <w:r w:rsidR="00660402">
        <w:rPr>
          <w:rFonts w:ascii="Garamond" w:hAnsi="Garamond"/>
          <w:bCs/>
        </w:rPr>
        <w:t xml:space="preserve">upplementary </w:t>
      </w:r>
      <w:r w:rsidR="00735B3E">
        <w:rPr>
          <w:rFonts w:ascii="Garamond" w:hAnsi="Garamond"/>
          <w:bCs/>
        </w:rPr>
        <w:t>M</w:t>
      </w:r>
      <w:r w:rsidR="00660402">
        <w:rPr>
          <w:rFonts w:ascii="Garamond" w:hAnsi="Garamond"/>
          <w:bCs/>
        </w:rPr>
        <w:t xml:space="preserve">aterials (total </w:t>
      </w:r>
      <w:r w:rsidRPr="008137EF">
        <w:rPr>
          <w:rFonts w:ascii="Garamond" w:hAnsi="Garamond"/>
          <w:bCs/>
          <w:i/>
        </w:rPr>
        <w:t>N</w:t>
      </w:r>
      <w:r>
        <w:rPr>
          <w:rFonts w:ascii="Garamond" w:hAnsi="Garamond"/>
          <w:bCs/>
        </w:rPr>
        <w:t xml:space="preserve"> = </w:t>
      </w:r>
      <w:r w:rsidR="00B842CD">
        <w:rPr>
          <w:rFonts w:ascii="Garamond" w:hAnsi="Garamond"/>
          <w:bCs/>
        </w:rPr>
        <w:t>1188</w:t>
      </w:r>
      <w:r w:rsidRPr="008137EF">
        <w:rPr>
          <w:rFonts w:ascii="Garamond" w:hAnsi="Garamond"/>
          <w:bCs/>
        </w:rPr>
        <w:t>)</w:t>
      </w:r>
      <w:r w:rsidR="00CA78AE">
        <w:rPr>
          <w:rFonts w:ascii="Garamond" w:hAnsi="Garamond"/>
          <w:bCs/>
        </w:rPr>
        <w:t>, nesting subjects within experiments and allowing a random intercept (but not random slopes) within each experiment</w:t>
      </w:r>
      <w:r w:rsidRPr="008137EF">
        <w:rPr>
          <w:rFonts w:ascii="Garamond" w:hAnsi="Garamond"/>
          <w:bCs/>
        </w:rPr>
        <w:t xml:space="preserve">. The dependent measure in this model was the </w:t>
      </w:r>
      <w:r>
        <w:rPr>
          <w:rFonts w:ascii="Garamond" w:hAnsi="Garamond"/>
          <w:bCs/>
        </w:rPr>
        <w:t>frequency with which all parties (buyers, sellers, and traders) were perceived to be non-beneficiaries (i.e., the proportion of individuals rated as having zero or negative gains from trade, multiplied by 100). D</w:t>
      </w:r>
      <w:r w:rsidRPr="008137EF">
        <w:rPr>
          <w:rFonts w:ascii="Garamond" w:hAnsi="Garamond"/>
          <w:bCs/>
        </w:rPr>
        <w:t>ummy-coded variables were entered for experiment comparing th</w:t>
      </w:r>
      <w:r>
        <w:rPr>
          <w:rFonts w:ascii="Garamond" w:hAnsi="Garamond"/>
          <w:bCs/>
        </w:rPr>
        <w:t xml:space="preserve">ese experiments to </w:t>
      </w:r>
      <w:r w:rsidR="002B26DD">
        <w:rPr>
          <w:rFonts w:ascii="Garamond" w:hAnsi="Garamond"/>
          <w:bCs/>
        </w:rPr>
        <w:t>Study 1</w:t>
      </w:r>
      <w:r w:rsidRPr="008137EF">
        <w:rPr>
          <w:rFonts w:ascii="Garamond" w:hAnsi="Garamond"/>
          <w:bCs/>
        </w:rPr>
        <w:t xml:space="preserve">. The other variables in the model included </w:t>
      </w:r>
      <w:r w:rsidR="00C804AF">
        <w:rPr>
          <w:rFonts w:ascii="Garamond" w:hAnsi="Garamond"/>
          <w:bCs/>
        </w:rPr>
        <w:t>educational variables—educational level (on a 7-point scale;</w:t>
      </w:r>
      <w:r w:rsidR="00C804AF" w:rsidRPr="00C804AF">
        <w:rPr>
          <w:rFonts w:ascii="Garamond" w:hAnsi="Garamond"/>
          <w:bCs/>
          <w:i/>
          <w:iCs/>
        </w:rPr>
        <w:t xml:space="preserve"> </w:t>
      </w:r>
      <w:proofErr w:type="spellStart"/>
      <w:r w:rsidR="00C804AF">
        <w:rPr>
          <w:rFonts w:ascii="Garamond" w:hAnsi="Garamond"/>
          <w:bCs/>
          <w:i/>
          <w:iCs/>
        </w:rPr>
        <w:t>Mdn</w:t>
      </w:r>
      <w:proofErr w:type="spellEnd"/>
      <w:r w:rsidR="00C804AF">
        <w:rPr>
          <w:rFonts w:ascii="Garamond" w:hAnsi="Garamond"/>
          <w:bCs/>
        </w:rPr>
        <w:t xml:space="preserve"> = some college), major (dummy-coded with 1 = economics or business; 17% business/econ majors), economics knowledge (on a 0–10 scale; </w:t>
      </w:r>
      <w:r w:rsidR="00C804AF">
        <w:rPr>
          <w:rFonts w:ascii="Garamond" w:hAnsi="Garamond"/>
          <w:bCs/>
          <w:i/>
          <w:iCs/>
        </w:rPr>
        <w:t>M</w:t>
      </w:r>
      <w:r w:rsidR="00C804AF">
        <w:rPr>
          <w:rFonts w:ascii="Garamond" w:hAnsi="Garamond"/>
          <w:bCs/>
        </w:rPr>
        <w:t xml:space="preserve"> = 4.53, </w:t>
      </w:r>
      <w:r w:rsidR="00C804AF">
        <w:rPr>
          <w:rFonts w:ascii="Garamond" w:hAnsi="Garamond"/>
          <w:bCs/>
          <w:i/>
          <w:iCs/>
        </w:rPr>
        <w:t>SD</w:t>
      </w:r>
      <w:r w:rsidR="00C804AF">
        <w:rPr>
          <w:rFonts w:ascii="Garamond" w:hAnsi="Garamond"/>
          <w:bCs/>
        </w:rPr>
        <w:t xml:space="preserve"> = 2.49), and number of economics courses (</w:t>
      </w:r>
      <w:r w:rsidR="00C804AF">
        <w:rPr>
          <w:rFonts w:ascii="Garamond" w:hAnsi="Garamond"/>
          <w:bCs/>
          <w:i/>
          <w:iCs/>
        </w:rPr>
        <w:t>M</w:t>
      </w:r>
      <w:r w:rsidR="00C804AF">
        <w:rPr>
          <w:rFonts w:ascii="Garamond" w:hAnsi="Garamond"/>
          <w:bCs/>
        </w:rPr>
        <w:t xml:space="preserve"> = 1.40, </w:t>
      </w:r>
      <w:r w:rsidR="00C804AF">
        <w:rPr>
          <w:rFonts w:ascii="Garamond" w:hAnsi="Garamond"/>
          <w:bCs/>
          <w:i/>
          <w:iCs/>
        </w:rPr>
        <w:t>SD</w:t>
      </w:r>
      <w:r w:rsidR="00C804AF">
        <w:rPr>
          <w:rFonts w:ascii="Garamond" w:hAnsi="Garamond"/>
          <w:bCs/>
        </w:rPr>
        <w:t xml:space="preserve"> = 1.84); </w:t>
      </w:r>
      <w:r w:rsidR="00401FB9">
        <w:rPr>
          <w:rFonts w:ascii="Garamond" w:hAnsi="Garamond"/>
          <w:bCs/>
        </w:rPr>
        <w:t xml:space="preserve">political views—social conservatism (on a 0–10 scale; </w:t>
      </w:r>
      <w:r w:rsidR="00401FB9">
        <w:rPr>
          <w:rFonts w:ascii="Garamond" w:hAnsi="Garamond"/>
          <w:bCs/>
          <w:i/>
          <w:iCs/>
        </w:rPr>
        <w:t>M</w:t>
      </w:r>
      <w:r w:rsidR="00401FB9">
        <w:rPr>
          <w:rFonts w:ascii="Garamond" w:hAnsi="Garamond"/>
          <w:bCs/>
        </w:rPr>
        <w:t xml:space="preserve"> = 3.91, </w:t>
      </w:r>
      <w:r w:rsidR="00401FB9">
        <w:rPr>
          <w:rFonts w:ascii="Garamond" w:hAnsi="Garamond"/>
          <w:bCs/>
          <w:i/>
          <w:iCs/>
        </w:rPr>
        <w:t>SD</w:t>
      </w:r>
      <w:r w:rsidR="00401FB9">
        <w:rPr>
          <w:rFonts w:ascii="Garamond" w:hAnsi="Garamond"/>
          <w:bCs/>
        </w:rPr>
        <w:t xml:space="preserve"> = 2.95) and economic conservatism (on a 0–10 scale; </w:t>
      </w:r>
      <w:r w:rsidR="00401FB9">
        <w:rPr>
          <w:rFonts w:ascii="Garamond" w:hAnsi="Garamond"/>
          <w:bCs/>
          <w:i/>
          <w:iCs/>
        </w:rPr>
        <w:t>M</w:t>
      </w:r>
      <w:r w:rsidR="00401FB9">
        <w:rPr>
          <w:rFonts w:ascii="Garamond" w:hAnsi="Garamond"/>
          <w:bCs/>
        </w:rPr>
        <w:t xml:space="preserve"> = 4.65, </w:t>
      </w:r>
      <w:r w:rsidR="00401FB9">
        <w:rPr>
          <w:rFonts w:ascii="Garamond" w:hAnsi="Garamond"/>
          <w:bCs/>
          <w:i/>
          <w:iCs/>
        </w:rPr>
        <w:t>SD</w:t>
      </w:r>
      <w:r w:rsidR="00401FB9">
        <w:rPr>
          <w:rFonts w:ascii="Garamond" w:hAnsi="Garamond"/>
          <w:bCs/>
        </w:rPr>
        <w:t xml:space="preserve"> = 2.93); and </w:t>
      </w:r>
      <w:r w:rsidR="00C804AF" w:rsidRPr="008137EF">
        <w:rPr>
          <w:rFonts w:ascii="Garamond" w:hAnsi="Garamond"/>
          <w:bCs/>
        </w:rPr>
        <w:t>basic demographics</w:t>
      </w:r>
      <w:r w:rsidR="00C804AF">
        <w:rPr>
          <w:rFonts w:ascii="Garamond" w:hAnsi="Garamond"/>
          <w:bCs/>
        </w:rPr>
        <w:t>—</w:t>
      </w:r>
      <w:r w:rsidR="00401FB9">
        <w:rPr>
          <w:rFonts w:ascii="Garamond" w:hAnsi="Garamond"/>
          <w:bCs/>
        </w:rPr>
        <w:t xml:space="preserve">gender (dummy-coded with 1 = female; 59% female), </w:t>
      </w:r>
      <w:r w:rsidR="00C804AF">
        <w:rPr>
          <w:rFonts w:ascii="Garamond" w:hAnsi="Garamond"/>
          <w:bCs/>
        </w:rPr>
        <w:t>age (</w:t>
      </w:r>
      <w:r w:rsidR="00C804AF">
        <w:rPr>
          <w:rFonts w:ascii="Garamond" w:hAnsi="Garamond"/>
          <w:bCs/>
          <w:i/>
          <w:iCs/>
        </w:rPr>
        <w:t>M</w:t>
      </w:r>
      <w:r w:rsidR="00C804AF">
        <w:rPr>
          <w:rFonts w:ascii="Garamond" w:hAnsi="Garamond"/>
          <w:bCs/>
        </w:rPr>
        <w:t xml:space="preserve"> = 37.9, </w:t>
      </w:r>
      <w:r w:rsidR="00C804AF">
        <w:rPr>
          <w:rFonts w:ascii="Garamond" w:hAnsi="Garamond"/>
          <w:bCs/>
          <w:i/>
          <w:iCs/>
        </w:rPr>
        <w:t>SD</w:t>
      </w:r>
      <w:r w:rsidR="00C804AF">
        <w:rPr>
          <w:rFonts w:ascii="Garamond" w:hAnsi="Garamond"/>
          <w:bCs/>
        </w:rPr>
        <w:t xml:space="preserve"> = 12.9), and income (square-</w:t>
      </w:r>
      <w:proofErr w:type="spellStart"/>
      <w:r w:rsidR="00C804AF">
        <w:rPr>
          <w:rFonts w:ascii="Garamond" w:hAnsi="Garamond"/>
          <w:bCs/>
        </w:rPr>
        <w:t>root</w:t>
      </w:r>
      <w:proofErr w:type="spellEnd"/>
      <w:r w:rsidR="00C804AF">
        <w:rPr>
          <w:rFonts w:ascii="Garamond" w:hAnsi="Garamond"/>
          <w:bCs/>
        </w:rPr>
        <w:t xml:space="preserve"> transformed; </w:t>
      </w:r>
      <w:proofErr w:type="spellStart"/>
      <w:r w:rsidR="00C804AF">
        <w:rPr>
          <w:rFonts w:ascii="Garamond" w:hAnsi="Garamond"/>
          <w:bCs/>
          <w:i/>
          <w:iCs/>
        </w:rPr>
        <w:t>Mdn</w:t>
      </w:r>
      <w:proofErr w:type="spellEnd"/>
      <w:r w:rsidR="00C804AF">
        <w:rPr>
          <w:rFonts w:ascii="Garamond" w:hAnsi="Garamond"/>
          <w:bCs/>
        </w:rPr>
        <w:t xml:space="preserve"> = $35,000)</w:t>
      </w:r>
      <w:r w:rsidR="00401FB9">
        <w:rPr>
          <w:rFonts w:ascii="Garamond" w:hAnsi="Garamond"/>
          <w:bCs/>
        </w:rPr>
        <w:t xml:space="preserve">. We also measured political party (on a 0–10 scale with higher numbers indicating stronger Republican identification; </w:t>
      </w:r>
      <w:r w:rsidR="00401FB9">
        <w:rPr>
          <w:rFonts w:ascii="Garamond" w:hAnsi="Garamond"/>
          <w:bCs/>
          <w:i/>
          <w:iCs/>
        </w:rPr>
        <w:t>M</w:t>
      </w:r>
      <w:r w:rsidR="00401FB9">
        <w:rPr>
          <w:rFonts w:ascii="Garamond" w:hAnsi="Garamond"/>
          <w:bCs/>
        </w:rPr>
        <w:t xml:space="preserve"> = 4.03, </w:t>
      </w:r>
      <w:r w:rsidR="00401FB9">
        <w:rPr>
          <w:rFonts w:ascii="Garamond" w:hAnsi="Garamond"/>
          <w:bCs/>
          <w:i/>
          <w:iCs/>
        </w:rPr>
        <w:t>SD</w:t>
      </w:r>
      <w:r w:rsidR="00401FB9">
        <w:rPr>
          <w:rFonts w:ascii="Garamond" w:hAnsi="Garamond"/>
          <w:bCs/>
        </w:rPr>
        <w:t xml:space="preserve"> = 3.00), but did not enter this variable into the model due to its multicollinearity with the other political variables. However, either adding this variable to the model or replacing the other two political variables with political party do not alter the results.</w:t>
      </w:r>
    </w:p>
    <w:p w14:paraId="3EB0FA4A" w14:textId="77777777" w:rsidR="00B57C28" w:rsidRDefault="00B57C28" w:rsidP="00B57C28">
      <w:pPr>
        <w:spacing w:line="276" w:lineRule="auto"/>
        <w:ind w:firstLine="360"/>
        <w:jc w:val="both"/>
        <w:rPr>
          <w:rFonts w:ascii="Garamond" w:hAnsi="Garamond"/>
          <w:bCs/>
        </w:rPr>
      </w:pPr>
      <w:r>
        <w:rPr>
          <w:rFonts w:ascii="Garamond" w:hAnsi="Garamond"/>
          <w:bCs/>
        </w:rPr>
        <w:t xml:space="preserve">The model coefficients are reported in Table S2. Model 1 tests the impact of economics knowledge and education. Although formal education did not have an impact on zero-sum thinking (either overall education level or number of economics courses), self-reported economics knowledge had an appreciable effect on zero-sum thinking. For every one point (on a 0–10 scale) of self-reported economics knowledge, participants indicated about one percentage point fewer individuals had failed to benefit from their transactions. However, this effect was somewhat cancelled out by the impact of being a business or economics major, who exhibited significantly </w:t>
      </w:r>
      <w:r>
        <w:rPr>
          <w:rFonts w:ascii="Garamond" w:hAnsi="Garamond"/>
          <w:bCs/>
          <w:i/>
        </w:rPr>
        <w:t xml:space="preserve">higher </w:t>
      </w:r>
      <w:r>
        <w:rPr>
          <w:rFonts w:ascii="Garamond" w:hAnsi="Garamond"/>
          <w:bCs/>
        </w:rPr>
        <w:t>degrees of zero-sum thinking (most of these were business, rather than economics majors, within our sample). This could be (regrettably) an effect of the business curriculum at management schools, but it also may be a self-selection bias. In any event, business majors also reported higher economics knowledge (in a separate model predicting economics knowledge), helping to compensate for this tendency.</w:t>
      </w:r>
    </w:p>
    <w:p w14:paraId="267EBA55" w14:textId="77777777" w:rsidR="00B57C28" w:rsidRPr="008137EF" w:rsidRDefault="00B57C28" w:rsidP="00B57C28">
      <w:pPr>
        <w:spacing w:line="276" w:lineRule="auto"/>
        <w:ind w:firstLine="360"/>
        <w:jc w:val="both"/>
        <w:rPr>
          <w:rFonts w:ascii="Garamond" w:hAnsi="Garamond"/>
          <w:bCs/>
        </w:rPr>
      </w:pPr>
      <w:r>
        <w:rPr>
          <w:rFonts w:ascii="Garamond" w:hAnsi="Garamond"/>
          <w:bCs/>
        </w:rPr>
        <w:t xml:space="preserve">Model 2 adds political orientation—separately for economic and social conservatism—to the model. Neither variable was a significant predictor. On the one hand, this may be surprising given current political discourse, which (at the time of writing) seems to include more zero-sum language from conservative politicians, at least within the United States. But given the global resurgence of both left-wing and right-wing economic populism, it may be less surprising that political orientation is not a good predictor of a zero-sum mentality. One limitation of our measure of economic conservatism is that this may be quite conceptually distinct from support of free markets, as Caplan (2007) finds </w:t>
      </w:r>
      <w:r>
        <w:rPr>
          <w:rFonts w:ascii="Garamond" w:hAnsi="Garamond"/>
          <w:bCs/>
        </w:rPr>
        <w:lastRenderedPageBreak/>
        <w:t>that both political conservatives and liberals are much more skeptical about the effectiveness of markets relative to professional economists.</w:t>
      </w:r>
    </w:p>
    <w:p w14:paraId="30AB8242" w14:textId="77777777" w:rsidR="00B57C28" w:rsidRPr="008137EF" w:rsidRDefault="00B57C28" w:rsidP="00B57C28">
      <w:pPr>
        <w:spacing w:line="276" w:lineRule="auto"/>
        <w:ind w:firstLine="360"/>
        <w:jc w:val="both"/>
        <w:rPr>
          <w:rFonts w:ascii="Garamond" w:hAnsi="Garamond"/>
          <w:bCs/>
        </w:rPr>
      </w:pPr>
    </w:p>
    <w:tbl>
      <w:tblPr>
        <w:tblW w:w="0" w:type="auto"/>
        <w:jc w:val="center"/>
        <w:tblLayout w:type="fixed"/>
        <w:tblLook w:val="04A0" w:firstRow="1" w:lastRow="0" w:firstColumn="1" w:lastColumn="0" w:noHBand="0" w:noVBand="1"/>
      </w:tblPr>
      <w:tblGrid>
        <w:gridCol w:w="2872"/>
        <w:gridCol w:w="1537"/>
        <w:gridCol w:w="1629"/>
        <w:gridCol w:w="1702"/>
      </w:tblGrid>
      <w:tr w:rsidR="00500E6A" w:rsidRPr="008137EF" w14:paraId="3B8B02AD" w14:textId="77777777" w:rsidTr="00B57C28">
        <w:trPr>
          <w:trHeight w:val="242"/>
          <w:jc w:val="center"/>
        </w:trPr>
        <w:tc>
          <w:tcPr>
            <w:tcW w:w="2872" w:type="dxa"/>
            <w:tcBorders>
              <w:top w:val="single" w:sz="4" w:space="0" w:color="auto"/>
              <w:left w:val="nil"/>
              <w:bottom w:val="single" w:sz="4" w:space="0" w:color="auto"/>
            </w:tcBorders>
            <w:shd w:val="clear" w:color="auto" w:fill="D9D9D9" w:themeFill="background1" w:themeFillShade="D9"/>
          </w:tcPr>
          <w:p w14:paraId="5E4485E1" w14:textId="77777777" w:rsidR="00500E6A" w:rsidRPr="008137EF" w:rsidRDefault="00500E6A" w:rsidP="00DA795C">
            <w:pPr>
              <w:spacing w:line="276" w:lineRule="auto"/>
              <w:jc w:val="center"/>
              <w:rPr>
                <w:rFonts w:ascii="Garamond" w:hAnsi="Garamond"/>
                <w:b/>
                <w:bCs/>
              </w:rPr>
            </w:pPr>
          </w:p>
        </w:tc>
        <w:tc>
          <w:tcPr>
            <w:tcW w:w="4868" w:type="dxa"/>
            <w:gridSpan w:val="3"/>
            <w:tcBorders>
              <w:top w:val="single" w:sz="4" w:space="0" w:color="auto"/>
              <w:bottom w:val="single" w:sz="4" w:space="0" w:color="auto"/>
            </w:tcBorders>
            <w:shd w:val="clear" w:color="auto" w:fill="D9D9D9" w:themeFill="background1" w:themeFillShade="D9"/>
          </w:tcPr>
          <w:p w14:paraId="05D0EFC5" w14:textId="77777777" w:rsidR="00500E6A" w:rsidRPr="008137EF" w:rsidRDefault="00500E6A" w:rsidP="00DA795C">
            <w:pPr>
              <w:spacing w:line="276" w:lineRule="auto"/>
              <w:jc w:val="center"/>
              <w:rPr>
                <w:rFonts w:ascii="Garamond" w:hAnsi="Garamond"/>
                <w:b/>
                <w:bCs/>
              </w:rPr>
            </w:pPr>
            <w:r>
              <w:rPr>
                <w:rFonts w:ascii="Garamond" w:hAnsi="Garamond"/>
                <w:b/>
                <w:bCs/>
              </w:rPr>
              <w:t>Coefficient (SE)</w:t>
            </w:r>
          </w:p>
        </w:tc>
      </w:tr>
      <w:tr w:rsidR="00500E6A" w:rsidRPr="008137EF" w14:paraId="3A798409" w14:textId="77777777" w:rsidTr="00B57C28">
        <w:trPr>
          <w:trHeight w:val="242"/>
          <w:jc w:val="center"/>
        </w:trPr>
        <w:tc>
          <w:tcPr>
            <w:tcW w:w="2872" w:type="dxa"/>
            <w:tcBorders>
              <w:top w:val="single" w:sz="4" w:space="0" w:color="auto"/>
              <w:left w:val="nil"/>
              <w:bottom w:val="single" w:sz="4" w:space="0" w:color="auto"/>
            </w:tcBorders>
            <w:shd w:val="clear" w:color="auto" w:fill="D9D9D9" w:themeFill="background1" w:themeFillShade="D9"/>
          </w:tcPr>
          <w:p w14:paraId="5EF283D5" w14:textId="77777777" w:rsidR="00500E6A" w:rsidRPr="008137EF" w:rsidRDefault="00500E6A" w:rsidP="00DA795C">
            <w:pPr>
              <w:spacing w:line="276" w:lineRule="auto"/>
              <w:jc w:val="center"/>
              <w:rPr>
                <w:rFonts w:ascii="Garamond" w:hAnsi="Garamond"/>
                <w:b/>
                <w:bCs/>
              </w:rPr>
            </w:pPr>
          </w:p>
        </w:tc>
        <w:tc>
          <w:tcPr>
            <w:tcW w:w="1537" w:type="dxa"/>
            <w:tcBorders>
              <w:top w:val="single" w:sz="4" w:space="0" w:color="auto"/>
              <w:bottom w:val="single" w:sz="4" w:space="0" w:color="auto"/>
            </w:tcBorders>
            <w:shd w:val="clear" w:color="auto" w:fill="D9D9D9" w:themeFill="background1" w:themeFillShade="D9"/>
          </w:tcPr>
          <w:p w14:paraId="18B86C2E" w14:textId="77777777" w:rsidR="00500E6A" w:rsidRDefault="00500E6A" w:rsidP="00DA795C">
            <w:pPr>
              <w:spacing w:line="276" w:lineRule="auto"/>
              <w:jc w:val="center"/>
              <w:rPr>
                <w:rFonts w:ascii="Garamond" w:hAnsi="Garamond"/>
                <w:b/>
                <w:bCs/>
              </w:rPr>
            </w:pPr>
            <w:r>
              <w:rPr>
                <w:rFonts w:ascii="Garamond" w:hAnsi="Garamond"/>
                <w:b/>
                <w:bCs/>
              </w:rPr>
              <w:t>Model 1</w:t>
            </w:r>
          </w:p>
        </w:tc>
        <w:tc>
          <w:tcPr>
            <w:tcW w:w="1629" w:type="dxa"/>
            <w:tcBorders>
              <w:top w:val="single" w:sz="4" w:space="0" w:color="auto"/>
              <w:bottom w:val="single" w:sz="4" w:space="0" w:color="auto"/>
            </w:tcBorders>
            <w:shd w:val="clear" w:color="auto" w:fill="D9D9D9" w:themeFill="background1" w:themeFillShade="D9"/>
          </w:tcPr>
          <w:p w14:paraId="761AE677" w14:textId="77777777" w:rsidR="00500E6A" w:rsidRDefault="00500E6A" w:rsidP="00DA795C">
            <w:pPr>
              <w:spacing w:line="276" w:lineRule="auto"/>
              <w:jc w:val="center"/>
              <w:rPr>
                <w:rFonts w:ascii="Garamond" w:hAnsi="Garamond"/>
                <w:b/>
                <w:bCs/>
              </w:rPr>
            </w:pPr>
            <w:r>
              <w:rPr>
                <w:rFonts w:ascii="Garamond" w:hAnsi="Garamond"/>
                <w:b/>
                <w:bCs/>
              </w:rPr>
              <w:t>Model 2</w:t>
            </w:r>
          </w:p>
        </w:tc>
        <w:tc>
          <w:tcPr>
            <w:tcW w:w="1702" w:type="dxa"/>
            <w:tcBorders>
              <w:top w:val="single" w:sz="4" w:space="0" w:color="auto"/>
              <w:bottom w:val="single" w:sz="4" w:space="0" w:color="auto"/>
            </w:tcBorders>
            <w:shd w:val="clear" w:color="auto" w:fill="D9D9D9" w:themeFill="background1" w:themeFillShade="D9"/>
          </w:tcPr>
          <w:p w14:paraId="0108678F" w14:textId="77777777" w:rsidR="00500E6A" w:rsidRDefault="00500E6A" w:rsidP="00DA795C">
            <w:pPr>
              <w:spacing w:line="276" w:lineRule="auto"/>
              <w:jc w:val="center"/>
              <w:rPr>
                <w:rFonts w:ascii="Garamond" w:hAnsi="Garamond"/>
                <w:b/>
                <w:bCs/>
              </w:rPr>
            </w:pPr>
            <w:r>
              <w:rPr>
                <w:rFonts w:ascii="Garamond" w:hAnsi="Garamond"/>
                <w:b/>
                <w:bCs/>
              </w:rPr>
              <w:t>Model 3</w:t>
            </w:r>
          </w:p>
        </w:tc>
      </w:tr>
      <w:tr w:rsidR="00500E6A" w:rsidRPr="008137EF" w14:paraId="2DF7AB6B" w14:textId="77777777" w:rsidTr="00B57C28">
        <w:trPr>
          <w:jc w:val="center"/>
        </w:trPr>
        <w:tc>
          <w:tcPr>
            <w:tcW w:w="2872" w:type="dxa"/>
            <w:tcBorders>
              <w:top w:val="single" w:sz="4" w:space="0" w:color="auto"/>
              <w:left w:val="nil"/>
              <w:bottom w:val="nil"/>
            </w:tcBorders>
          </w:tcPr>
          <w:p w14:paraId="62CB11C1" w14:textId="77777777" w:rsidR="00500E6A" w:rsidRPr="008137EF" w:rsidRDefault="00500E6A" w:rsidP="00DA795C">
            <w:pPr>
              <w:spacing w:line="276" w:lineRule="auto"/>
              <w:rPr>
                <w:rFonts w:ascii="Garamond" w:hAnsi="Garamond"/>
                <w:bCs/>
              </w:rPr>
            </w:pPr>
            <w:r>
              <w:rPr>
                <w:rFonts w:ascii="Garamond" w:hAnsi="Garamond"/>
                <w:bCs/>
              </w:rPr>
              <w:t>Education</w:t>
            </w:r>
          </w:p>
        </w:tc>
        <w:tc>
          <w:tcPr>
            <w:tcW w:w="1537" w:type="dxa"/>
            <w:tcBorders>
              <w:top w:val="single" w:sz="4" w:space="0" w:color="auto"/>
              <w:bottom w:val="nil"/>
              <w:right w:val="nil"/>
            </w:tcBorders>
          </w:tcPr>
          <w:p w14:paraId="2374FF2B" w14:textId="484ED6CF" w:rsidR="00500E6A" w:rsidRPr="008137EF" w:rsidRDefault="00500E6A" w:rsidP="004516E9">
            <w:pPr>
              <w:spacing w:line="276" w:lineRule="auto"/>
              <w:rPr>
                <w:rFonts w:ascii="Garamond" w:hAnsi="Garamond"/>
                <w:bCs/>
              </w:rPr>
            </w:pPr>
            <w:r>
              <w:rPr>
                <w:rFonts w:ascii="Garamond" w:hAnsi="Garamond"/>
                <w:bCs/>
              </w:rPr>
              <w:t>–0.</w:t>
            </w:r>
            <w:r w:rsidR="00B842CD">
              <w:rPr>
                <w:rFonts w:ascii="Garamond" w:hAnsi="Garamond"/>
                <w:bCs/>
              </w:rPr>
              <w:t>26</w:t>
            </w:r>
            <w:r>
              <w:rPr>
                <w:rFonts w:ascii="Garamond" w:hAnsi="Garamond"/>
                <w:bCs/>
              </w:rPr>
              <w:t xml:space="preserve"> (0.4</w:t>
            </w:r>
            <w:r w:rsidR="00B842CD">
              <w:rPr>
                <w:rFonts w:ascii="Garamond" w:hAnsi="Garamond"/>
                <w:bCs/>
              </w:rPr>
              <w:t>1</w:t>
            </w:r>
            <w:r>
              <w:rPr>
                <w:rFonts w:ascii="Garamond" w:hAnsi="Garamond"/>
                <w:bCs/>
              </w:rPr>
              <w:t>)</w:t>
            </w:r>
          </w:p>
        </w:tc>
        <w:tc>
          <w:tcPr>
            <w:tcW w:w="1629" w:type="dxa"/>
            <w:tcBorders>
              <w:top w:val="single" w:sz="4" w:space="0" w:color="auto"/>
              <w:left w:val="nil"/>
              <w:bottom w:val="nil"/>
              <w:right w:val="nil"/>
            </w:tcBorders>
          </w:tcPr>
          <w:p w14:paraId="5A6DD73B" w14:textId="5F443F9C" w:rsidR="00500E6A" w:rsidRPr="008137EF" w:rsidRDefault="004516E9" w:rsidP="004516E9">
            <w:pPr>
              <w:spacing w:line="276" w:lineRule="auto"/>
              <w:rPr>
                <w:rFonts w:ascii="Garamond" w:hAnsi="Garamond"/>
                <w:bCs/>
              </w:rPr>
            </w:pPr>
            <w:r>
              <w:rPr>
                <w:rFonts w:ascii="Garamond" w:hAnsi="Garamond"/>
                <w:bCs/>
              </w:rPr>
              <w:t>–0.</w:t>
            </w:r>
            <w:r w:rsidR="00B842CD">
              <w:rPr>
                <w:rFonts w:ascii="Garamond" w:hAnsi="Garamond"/>
                <w:bCs/>
              </w:rPr>
              <w:t>22</w:t>
            </w:r>
            <w:r w:rsidR="00500E6A">
              <w:rPr>
                <w:rFonts w:ascii="Garamond" w:hAnsi="Garamond"/>
                <w:bCs/>
              </w:rPr>
              <w:t xml:space="preserve"> (0.4</w:t>
            </w:r>
            <w:r>
              <w:rPr>
                <w:rFonts w:ascii="Garamond" w:hAnsi="Garamond"/>
                <w:bCs/>
              </w:rPr>
              <w:t>2</w:t>
            </w:r>
            <w:r w:rsidR="00500E6A">
              <w:rPr>
                <w:rFonts w:ascii="Garamond" w:hAnsi="Garamond"/>
                <w:bCs/>
              </w:rPr>
              <w:t>)</w:t>
            </w:r>
          </w:p>
        </w:tc>
        <w:tc>
          <w:tcPr>
            <w:tcW w:w="1702" w:type="dxa"/>
            <w:tcBorders>
              <w:top w:val="single" w:sz="4" w:space="0" w:color="auto"/>
              <w:left w:val="nil"/>
              <w:bottom w:val="nil"/>
            </w:tcBorders>
          </w:tcPr>
          <w:p w14:paraId="42E6DEA1" w14:textId="4EF37632" w:rsidR="00500E6A" w:rsidRPr="008137EF" w:rsidRDefault="00500E6A" w:rsidP="004516E9">
            <w:pPr>
              <w:spacing w:line="276" w:lineRule="auto"/>
              <w:rPr>
                <w:rFonts w:ascii="Garamond" w:hAnsi="Garamond"/>
                <w:bCs/>
              </w:rPr>
            </w:pPr>
            <w:r>
              <w:rPr>
                <w:rFonts w:ascii="Garamond" w:hAnsi="Garamond"/>
                <w:bCs/>
              </w:rPr>
              <w:t>–0.3</w:t>
            </w:r>
            <w:r w:rsidR="00B842CD">
              <w:rPr>
                <w:rFonts w:ascii="Garamond" w:hAnsi="Garamond"/>
                <w:bCs/>
              </w:rPr>
              <w:t>9</w:t>
            </w:r>
            <w:r>
              <w:rPr>
                <w:rFonts w:ascii="Garamond" w:hAnsi="Garamond"/>
                <w:bCs/>
              </w:rPr>
              <w:t xml:space="preserve"> (0.</w:t>
            </w:r>
            <w:r w:rsidR="004516E9">
              <w:rPr>
                <w:rFonts w:ascii="Garamond" w:hAnsi="Garamond"/>
                <w:bCs/>
              </w:rPr>
              <w:t>43</w:t>
            </w:r>
            <w:r>
              <w:rPr>
                <w:rFonts w:ascii="Garamond" w:hAnsi="Garamond"/>
                <w:bCs/>
              </w:rPr>
              <w:t>)</w:t>
            </w:r>
          </w:p>
        </w:tc>
      </w:tr>
      <w:tr w:rsidR="00500E6A" w:rsidRPr="008137EF" w14:paraId="6D8FC0EC" w14:textId="77777777" w:rsidTr="00B57C28">
        <w:trPr>
          <w:trHeight w:val="351"/>
          <w:jc w:val="center"/>
        </w:trPr>
        <w:tc>
          <w:tcPr>
            <w:tcW w:w="2872" w:type="dxa"/>
            <w:tcBorders>
              <w:left w:val="nil"/>
              <w:bottom w:val="nil"/>
            </w:tcBorders>
          </w:tcPr>
          <w:p w14:paraId="1177F50D" w14:textId="77777777" w:rsidR="00500E6A" w:rsidRPr="008137EF" w:rsidRDefault="00500E6A" w:rsidP="00DA795C">
            <w:pPr>
              <w:spacing w:line="276" w:lineRule="auto"/>
              <w:rPr>
                <w:rFonts w:ascii="Garamond" w:hAnsi="Garamond"/>
                <w:bCs/>
              </w:rPr>
            </w:pPr>
            <w:r>
              <w:rPr>
                <w:rFonts w:ascii="Garamond" w:hAnsi="Garamond"/>
                <w:bCs/>
              </w:rPr>
              <w:t>Business/Econ Major</w:t>
            </w:r>
          </w:p>
        </w:tc>
        <w:tc>
          <w:tcPr>
            <w:tcW w:w="1537" w:type="dxa"/>
            <w:tcBorders>
              <w:bottom w:val="nil"/>
              <w:right w:val="nil"/>
            </w:tcBorders>
          </w:tcPr>
          <w:p w14:paraId="4200AAA5" w14:textId="1D522EAE" w:rsidR="00500E6A" w:rsidRPr="008137EF" w:rsidRDefault="004516E9" w:rsidP="004516E9">
            <w:pPr>
              <w:spacing w:line="276" w:lineRule="auto"/>
              <w:rPr>
                <w:rFonts w:ascii="Garamond" w:hAnsi="Garamond"/>
                <w:bCs/>
              </w:rPr>
            </w:pPr>
            <w:r>
              <w:rPr>
                <w:rFonts w:ascii="Garamond" w:hAnsi="Garamond"/>
                <w:bCs/>
              </w:rPr>
              <w:t>3.</w:t>
            </w:r>
            <w:r w:rsidR="00B842CD">
              <w:rPr>
                <w:rFonts w:ascii="Garamond" w:hAnsi="Garamond"/>
                <w:bCs/>
              </w:rPr>
              <w:t>8</w:t>
            </w:r>
            <w:r>
              <w:rPr>
                <w:rFonts w:ascii="Garamond" w:hAnsi="Garamond"/>
                <w:bCs/>
              </w:rPr>
              <w:t>2</w:t>
            </w:r>
            <w:r w:rsidR="00500E6A">
              <w:rPr>
                <w:rFonts w:ascii="Garamond" w:hAnsi="Garamond"/>
                <w:bCs/>
              </w:rPr>
              <w:t xml:space="preserve"> (</w:t>
            </w:r>
            <w:r>
              <w:rPr>
                <w:rFonts w:ascii="Garamond" w:hAnsi="Garamond"/>
                <w:bCs/>
              </w:rPr>
              <w:t>1.8</w:t>
            </w:r>
            <w:r w:rsidR="00B842CD">
              <w:rPr>
                <w:rFonts w:ascii="Garamond" w:hAnsi="Garamond"/>
                <w:bCs/>
              </w:rPr>
              <w:t>3</w:t>
            </w:r>
            <w:r w:rsidR="00500E6A">
              <w:rPr>
                <w:rFonts w:ascii="Garamond" w:hAnsi="Garamond"/>
                <w:bCs/>
              </w:rPr>
              <w:t>)*</w:t>
            </w:r>
          </w:p>
        </w:tc>
        <w:tc>
          <w:tcPr>
            <w:tcW w:w="1629" w:type="dxa"/>
            <w:tcBorders>
              <w:left w:val="nil"/>
              <w:bottom w:val="nil"/>
              <w:right w:val="nil"/>
            </w:tcBorders>
          </w:tcPr>
          <w:p w14:paraId="2E9F5B40" w14:textId="7F51E89D" w:rsidR="00500E6A" w:rsidRPr="008137EF" w:rsidRDefault="004516E9" w:rsidP="004516E9">
            <w:pPr>
              <w:spacing w:line="276" w:lineRule="auto"/>
              <w:rPr>
                <w:rFonts w:ascii="Garamond" w:hAnsi="Garamond"/>
                <w:bCs/>
              </w:rPr>
            </w:pPr>
            <w:r>
              <w:rPr>
                <w:rFonts w:ascii="Garamond" w:hAnsi="Garamond"/>
                <w:bCs/>
              </w:rPr>
              <w:t>3.</w:t>
            </w:r>
            <w:r w:rsidR="00B842CD">
              <w:rPr>
                <w:rFonts w:ascii="Garamond" w:hAnsi="Garamond"/>
                <w:bCs/>
              </w:rPr>
              <w:t>77</w:t>
            </w:r>
            <w:r w:rsidR="00500E6A">
              <w:rPr>
                <w:rFonts w:ascii="Garamond" w:hAnsi="Garamond"/>
                <w:bCs/>
              </w:rPr>
              <w:t xml:space="preserve"> (</w:t>
            </w:r>
            <w:r>
              <w:rPr>
                <w:rFonts w:ascii="Garamond" w:hAnsi="Garamond"/>
                <w:bCs/>
              </w:rPr>
              <w:t>1.8</w:t>
            </w:r>
            <w:r w:rsidR="00B842CD">
              <w:rPr>
                <w:rFonts w:ascii="Garamond" w:hAnsi="Garamond"/>
                <w:bCs/>
              </w:rPr>
              <w:t>4</w:t>
            </w:r>
            <w:r w:rsidR="00500E6A">
              <w:rPr>
                <w:rFonts w:ascii="Garamond" w:hAnsi="Garamond"/>
                <w:bCs/>
              </w:rPr>
              <w:t>)</w:t>
            </w:r>
            <w:r w:rsidR="00B842CD">
              <w:rPr>
                <w:rFonts w:ascii="Garamond" w:hAnsi="Garamond"/>
                <w:bCs/>
              </w:rPr>
              <w:t>*</w:t>
            </w:r>
          </w:p>
        </w:tc>
        <w:tc>
          <w:tcPr>
            <w:tcW w:w="1702" w:type="dxa"/>
            <w:tcBorders>
              <w:left w:val="nil"/>
              <w:bottom w:val="nil"/>
            </w:tcBorders>
          </w:tcPr>
          <w:p w14:paraId="327C81E3" w14:textId="12502AFD" w:rsidR="00500E6A" w:rsidRPr="008137EF" w:rsidRDefault="004516E9" w:rsidP="004516E9">
            <w:pPr>
              <w:spacing w:line="276" w:lineRule="auto"/>
              <w:rPr>
                <w:rFonts w:ascii="Garamond" w:hAnsi="Garamond"/>
                <w:bCs/>
              </w:rPr>
            </w:pPr>
            <w:r>
              <w:rPr>
                <w:rFonts w:ascii="Garamond" w:hAnsi="Garamond"/>
                <w:bCs/>
              </w:rPr>
              <w:t>3.</w:t>
            </w:r>
            <w:r w:rsidR="00B842CD">
              <w:rPr>
                <w:rFonts w:ascii="Garamond" w:hAnsi="Garamond"/>
                <w:bCs/>
              </w:rPr>
              <w:t>13</w:t>
            </w:r>
            <w:r w:rsidR="00500E6A">
              <w:rPr>
                <w:rFonts w:ascii="Garamond" w:hAnsi="Garamond"/>
                <w:bCs/>
              </w:rPr>
              <w:t xml:space="preserve"> (</w:t>
            </w:r>
            <w:r>
              <w:rPr>
                <w:rFonts w:ascii="Garamond" w:hAnsi="Garamond"/>
                <w:bCs/>
              </w:rPr>
              <w:t>1.87</w:t>
            </w:r>
            <w:r w:rsidR="00500E6A">
              <w:rPr>
                <w:rFonts w:ascii="Garamond" w:hAnsi="Garamond"/>
                <w:bCs/>
              </w:rPr>
              <w:t>)</w:t>
            </w:r>
            <w:r w:rsidR="00B842CD">
              <w:rPr>
                <w:rFonts w:ascii="Garamond" w:hAnsi="Garamond"/>
                <w:bCs/>
              </w:rPr>
              <w:t>º</w:t>
            </w:r>
          </w:p>
        </w:tc>
      </w:tr>
      <w:tr w:rsidR="00500E6A" w:rsidRPr="008137EF" w14:paraId="2F3F8E67" w14:textId="77777777" w:rsidTr="00B57C28">
        <w:trPr>
          <w:jc w:val="center"/>
        </w:trPr>
        <w:tc>
          <w:tcPr>
            <w:tcW w:w="2872" w:type="dxa"/>
            <w:tcBorders>
              <w:left w:val="nil"/>
              <w:bottom w:val="nil"/>
            </w:tcBorders>
          </w:tcPr>
          <w:p w14:paraId="3EE9074F" w14:textId="77777777" w:rsidR="00500E6A" w:rsidRPr="008137EF" w:rsidRDefault="00500E6A" w:rsidP="00DA795C">
            <w:pPr>
              <w:spacing w:line="276" w:lineRule="auto"/>
              <w:rPr>
                <w:rFonts w:ascii="Garamond" w:hAnsi="Garamond"/>
                <w:bCs/>
              </w:rPr>
            </w:pPr>
            <w:r>
              <w:rPr>
                <w:rFonts w:ascii="Garamond" w:hAnsi="Garamond"/>
                <w:bCs/>
              </w:rPr>
              <w:t>Econ Knowledge</w:t>
            </w:r>
          </w:p>
        </w:tc>
        <w:tc>
          <w:tcPr>
            <w:tcW w:w="1537" w:type="dxa"/>
            <w:tcBorders>
              <w:bottom w:val="nil"/>
              <w:right w:val="nil"/>
            </w:tcBorders>
          </w:tcPr>
          <w:p w14:paraId="0CCA38FE" w14:textId="18946F83" w:rsidR="00500E6A" w:rsidRPr="008137EF" w:rsidRDefault="004516E9" w:rsidP="004516E9">
            <w:pPr>
              <w:spacing w:line="276" w:lineRule="auto"/>
              <w:rPr>
                <w:rFonts w:ascii="Garamond" w:hAnsi="Garamond"/>
                <w:bCs/>
              </w:rPr>
            </w:pPr>
            <w:r>
              <w:rPr>
                <w:rFonts w:ascii="Garamond" w:hAnsi="Garamond"/>
                <w:bCs/>
              </w:rPr>
              <w:t>–0.</w:t>
            </w:r>
            <w:r w:rsidR="00B842CD">
              <w:rPr>
                <w:rFonts w:ascii="Garamond" w:hAnsi="Garamond"/>
                <w:bCs/>
              </w:rPr>
              <w:t>62</w:t>
            </w:r>
            <w:r w:rsidR="00500E6A">
              <w:rPr>
                <w:rFonts w:ascii="Garamond" w:hAnsi="Garamond"/>
                <w:bCs/>
              </w:rPr>
              <w:t xml:space="preserve"> (0.</w:t>
            </w:r>
            <w:r>
              <w:rPr>
                <w:rFonts w:ascii="Garamond" w:hAnsi="Garamond"/>
                <w:bCs/>
              </w:rPr>
              <w:t>2</w:t>
            </w:r>
            <w:r w:rsidR="00B842CD">
              <w:rPr>
                <w:rFonts w:ascii="Garamond" w:hAnsi="Garamond"/>
                <w:bCs/>
              </w:rPr>
              <w:t>8</w:t>
            </w:r>
            <w:r w:rsidR="00500E6A">
              <w:rPr>
                <w:rFonts w:ascii="Garamond" w:hAnsi="Garamond"/>
                <w:bCs/>
              </w:rPr>
              <w:t>)*</w:t>
            </w:r>
          </w:p>
        </w:tc>
        <w:tc>
          <w:tcPr>
            <w:tcW w:w="1629" w:type="dxa"/>
            <w:tcBorders>
              <w:left w:val="nil"/>
              <w:bottom w:val="nil"/>
              <w:right w:val="nil"/>
            </w:tcBorders>
          </w:tcPr>
          <w:p w14:paraId="44F93334" w14:textId="0D9B0EBA" w:rsidR="00500E6A" w:rsidRPr="008137EF" w:rsidRDefault="00500E6A" w:rsidP="004516E9">
            <w:pPr>
              <w:spacing w:line="276" w:lineRule="auto"/>
              <w:rPr>
                <w:rFonts w:ascii="Garamond" w:hAnsi="Garamond"/>
                <w:bCs/>
              </w:rPr>
            </w:pPr>
            <w:r>
              <w:rPr>
                <w:rFonts w:ascii="Garamond" w:hAnsi="Garamond"/>
                <w:bCs/>
              </w:rPr>
              <w:t>–0</w:t>
            </w:r>
            <w:r w:rsidR="004516E9">
              <w:rPr>
                <w:rFonts w:ascii="Garamond" w:hAnsi="Garamond"/>
                <w:bCs/>
              </w:rPr>
              <w:t>.</w:t>
            </w:r>
            <w:r w:rsidR="00B842CD">
              <w:rPr>
                <w:rFonts w:ascii="Garamond" w:hAnsi="Garamond"/>
                <w:bCs/>
              </w:rPr>
              <w:t>63</w:t>
            </w:r>
            <w:r>
              <w:rPr>
                <w:rFonts w:ascii="Garamond" w:hAnsi="Garamond"/>
                <w:bCs/>
              </w:rPr>
              <w:t xml:space="preserve"> (0.</w:t>
            </w:r>
            <w:r w:rsidR="004516E9">
              <w:rPr>
                <w:rFonts w:ascii="Garamond" w:hAnsi="Garamond"/>
                <w:bCs/>
              </w:rPr>
              <w:t>29</w:t>
            </w:r>
            <w:r>
              <w:rPr>
                <w:rFonts w:ascii="Garamond" w:hAnsi="Garamond"/>
                <w:bCs/>
              </w:rPr>
              <w:t>)*</w:t>
            </w:r>
          </w:p>
        </w:tc>
        <w:tc>
          <w:tcPr>
            <w:tcW w:w="1702" w:type="dxa"/>
            <w:tcBorders>
              <w:left w:val="nil"/>
              <w:bottom w:val="nil"/>
            </w:tcBorders>
          </w:tcPr>
          <w:p w14:paraId="272E1DF2" w14:textId="5F23D355" w:rsidR="00500E6A" w:rsidRPr="008137EF" w:rsidRDefault="00500E6A" w:rsidP="004516E9">
            <w:pPr>
              <w:spacing w:line="276" w:lineRule="auto"/>
              <w:rPr>
                <w:rFonts w:ascii="Garamond" w:hAnsi="Garamond"/>
                <w:bCs/>
              </w:rPr>
            </w:pPr>
            <w:r>
              <w:rPr>
                <w:rFonts w:ascii="Garamond" w:hAnsi="Garamond"/>
                <w:bCs/>
              </w:rPr>
              <w:t>–</w:t>
            </w:r>
            <w:r w:rsidR="004516E9">
              <w:rPr>
                <w:rFonts w:ascii="Garamond" w:hAnsi="Garamond"/>
                <w:bCs/>
              </w:rPr>
              <w:t>0</w:t>
            </w:r>
            <w:r>
              <w:rPr>
                <w:rFonts w:ascii="Garamond" w:hAnsi="Garamond"/>
                <w:bCs/>
              </w:rPr>
              <w:t>.</w:t>
            </w:r>
            <w:r w:rsidR="00B842CD">
              <w:rPr>
                <w:rFonts w:ascii="Garamond" w:hAnsi="Garamond"/>
                <w:bCs/>
              </w:rPr>
              <w:t>58</w:t>
            </w:r>
            <w:r w:rsidR="004516E9">
              <w:rPr>
                <w:rFonts w:ascii="Garamond" w:hAnsi="Garamond"/>
                <w:bCs/>
              </w:rPr>
              <w:t xml:space="preserve"> (0.30</w:t>
            </w:r>
            <w:r>
              <w:rPr>
                <w:rFonts w:ascii="Garamond" w:hAnsi="Garamond"/>
                <w:bCs/>
              </w:rPr>
              <w:t>)</w:t>
            </w:r>
            <w:r w:rsidR="00B842CD">
              <w:rPr>
                <w:rFonts w:ascii="Garamond" w:hAnsi="Garamond"/>
                <w:bCs/>
              </w:rPr>
              <w:t>º</w:t>
            </w:r>
          </w:p>
        </w:tc>
      </w:tr>
      <w:tr w:rsidR="00500E6A" w:rsidRPr="008137EF" w14:paraId="481A2116" w14:textId="77777777" w:rsidTr="00B57C28">
        <w:trPr>
          <w:jc w:val="center"/>
        </w:trPr>
        <w:tc>
          <w:tcPr>
            <w:tcW w:w="2872" w:type="dxa"/>
            <w:tcBorders>
              <w:left w:val="nil"/>
              <w:bottom w:val="nil"/>
            </w:tcBorders>
          </w:tcPr>
          <w:p w14:paraId="3446D5D1" w14:textId="77777777" w:rsidR="00500E6A" w:rsidRPr="008137EF" w:rsidRDefault="00500E6A" w:rsidP="00DA795C">
            <w:pPr>
              <w:spacing w:line="276" w:lineRule="auto"/>
              <w:rPr>
                <w:rFonts w:ascii="Garamond" w:hAnsi="Garamond"/>
                <w:bCs/>
              </w:rPr>
            </w:pPr>
            <w:r>
              <w:rPr>
                <w:rFonts w:ascii="Garamond" w:hAnsi="Garamond"/>
                <w:bCs/>
              </w:rPr>
              <w:t>Econ Courses</w:t>
            </w:r>
          </w:p>
        </w:tc>
        <w:tc>
          <w:tcPr>
            <w:tcW w:w="1537" w:type="dxa"/>
            <w:tcBorders>
              <w:bottom w:val="nil"/>
              <w:right w:val="nil"/>
            </w:tcBorders>
          </w:tcPr>
          <w:p w14:paraId="1C8588F2" w14:textId="15FD2F2A" w:rsidR="00500E6A" w:rsidRPr="008137EF" w:rsidRDefault="004516E9" w:rsidP="004516E9">
            <w:pPr>
              <w:spacing w:line="276" w:lineRule="auto"/>
              <w:rPr>
                <w:rFonts w:ascii="Garamond" w:hAnsi="Garamond"/>
                <w:bCs/>
              </w:rPr>
            </w:pPr>
            <w:r>
              <w:rPr>
                <w:rFonts w:ascii="Garamond" w:hAnsi="Garamond"/>
                <w:bCs/>
              </w:rPr>
              <w:t>–</w:t>
            </w:r>
            <w:r w:rsidR="00500E6A">
              <w:rPr>
                <w:rFonts w:ascii="Garamond" w:hAnsi="Garamond"/>
                <w:bCs/>
              </w:rPr>
              <w:t>0.</w:t>
            </w:r>
            <w:r w:rsidR="00B842CD">
              <w:rPr>
                <w:rFonts w:ascii="Garamond" w:hAnsi="Garamond"/>
                <w:bCs/>
              </w:rPr>
              <w:t xml:space="preserve">43 </w:t>
            </w:r>
            <w:r w:rsidR="00500E6A">
              <w:rPr>
                <w:rFonts w:ascii="Garamond" w:hAnsi="Garamond"/>
                <w:bCs/>
              </w:rPr>
              <w:t>(0.</w:t>
            </w:r>
            <w:r>
              <w:rPr>
                <w:rFonts w:ascii="Garamond" w:hAnsi="Garamond"/>
                <w:bCs/>
              </w:rPr>
              <w:t>4</w:t>
            </w:r>
            <w:r w:rsidR="00B842CD">
              <w:rPr>
                <w:rFonts w:ascii="Garamond" w:hAnsi="Garamond"/>
                <w:bCs/>
              </w:rPr>
              <w:t>3</w:t>
            </w:r>
            <w:r w:rsidR="00500E6A">
              <w:rPr>
                <w:rFonts w:ascii="Garamond" w:hAnsi="Garamond"/>
                <w:bCs/>
              </w:rPr>
              <w:t>)</w:t>
            </w:r>
          </w:p>
        </w:tc>
        <w:tc>
          <w:tcPr>
            <w:tcW w:w="1629" w:type="dxa"/>
            <w:tcBorders>
              <w:left w:val="nil"/>
              <w:bottom w:val="nil"/>
              <w:right w:val="nil"/>
            </w:tcBorders>
          </w:tcPr>
          <w:p w14:paraId="49E37378" w14:textId="58D110EA" w:rsidR="00500E6A" w:rsidRPr="008137EF" w:rsidRDefault="004516E9" w:rsidP="004516E9">
            <w:pPr>
              <w:spacing w:line="276" w:lineRule="auto"/>
              <w:rPr>
                <w:rFonts w:ascii="Garamond" w:hAnsi="Garamond"/>
                <w:bCs/>
              </w:rPr>
            </w:pPr>
            <w:r>
              <w:rPr>
                <w:rFonts w:ascii="Garamond" w:hAnsi="Garamond"/>
                <w:bCs/>
              </w:rPr>
              <w:t>–0.</w:t>
            </w:r>
            <w:r w:rsidR="00B842CD">
              <w:rPr>
                <w:rFonts w:ascii="Garamond" w:hAnsi="Garamond"/>
                <w:bCs/>
              </w:rPr>
              <w:t>41</w:t>
            </w:r>
            <w:r w:rsidR="00500E6A">
              <w:rPr>
                <w:rFonts w:ascii="Garamond" w:hAnsi="Garamond"/>
                <w:bCs/>
              </w:rPr>
              <w:t xml:space="preserve"> (0.</w:t>
            </w:r>
            <w:r>
              <w:rPr>
                <w:rFonts w:ascii="Garamond" w:hAnsi="Garamond"/>
                <w:bCs/>
              </w:rPr>
              <w:t>4</w:t>
            </w:r>
            <w:r w:rsidR="00B842CD">
              <w:rPr>
                <w:rFonts w:ascii="Garamond" w:hAnsi="Garamond"/>
                <w:bCs/>
              </w:rPr>
              <w:t>3</w:t>
            </w:r>
            <w:r w:rsidR="00500E6A">
              <w:rPr>
                <w:rFonts w:ascii="Garamond" w:hAnsi="Garamond"/>
                <w:bCs/>
              </w:rPr>
              <w:t>)</w:t>
            </w:r>
          </w:p>
        </w:tc>
        <w:tc>
          <w:tcPr>
            <w:tcW w:w="1702" w:type="dxa"/>
            <w:tcBorders>
              <w:left w:val="nil"/>
              <w:bottom w:val="nil"/>
            </w:tcBorders>
          </w:tcPr>
          <w:p w14:paraId="35D1AE57" w14:textId="417DCBF6" w:rsidR="00500E6A" w:rsidRPr="008137EF" w:rsidRDefault="004516E9" w:rsidP="004516E9">
            <w:pPr>
              <w:spacing w:line="276" w:lineRule="auto"/>
              <w:rPr>
                <w:rFonts w:ascii="Garamond" w:hAnsi="Garamond"/>
                <w:bCs/>
              </w:rPr>
            </w:pPr>
            <w:r>
              <w:rPr>
                <w:rFonts w:ascii="Garamond" w:hAnsi="Garamond"/>
                <w:bCs/>
              </w:rPr>
              <w:t>–</w:t>
            </w:r>
            <w:r w:rsidR="00500E6A">
              <w:rPr>
                <w:rFonts w:ascii="Garamond" w:hAnsi="Garamond"/>
                <w:bCs/>
              </w:rPr>
              <w:t>0.</w:t>
            </w:r>
            <w:r w:rsidR="00B842CD">
              <w:rPr>
                <w:rFonts w:ascii="Garamond" w:hAnsi="Garamond"/>
                <w:bCs/>
              </w:rPr>
              <w:t>35</w:t>
            </w:r>
            <w:r>
              <w:rPr>
                <w:rFonts w:ascii="Garamond" w:hAnsi="Garamond"/>
                <w:bCs/>
              </w:rPr>
              <w:t xml:space="preserve"> (0.4</w:t>
            </w:r>
            <w:r w:rsidR="00B842CD">
              <w:rPr>
                <w:rFonts w:ascii="Garamond" w:hAnsi="Garamond"/>
                <w:bCs/>
              </w:rPr>
              <w:t>4</w:t>
            </w:r>
            <w:r w:rsidR="00500E6A">
              <w:rPr>
                <w:rFonts w:ascii="Garamond" w:hAnsi="Garamond"/>
                <w:bCs/>
              </w:rPr>
              <w:t>)</w:t>
            </w:r>
          </w:p>
        </w:tc>
      </w:tr>
      <w:tr w:rsidR="00500E6A" w:rsidRPr="008137EF" w14:paraId="5E6FE400" w14:textId="77777777" w:rsidTr="00B57C28">
        <w:trPr>
          <w:jc w:val="center"/>
        </w:trPr>
        <w:tc>
          <w:tcPr>
            <w:tcW w:w="2872" w:type="dxa"/>
            <w:tcBorders>
              <w:left w:val="nil"/>
              <w:bottom w:val="nil"/>
            </w:tcBorders>
          </w:tcPr>
          <w:p w14:paraId="2D742EE5" w14:textId="77777777" w:rsidR="00500E6A" w:rsidRPr="008137EF" w:rsidRDefault="00500E6A" w:rsidP="00DA795C">
            <w:pPr>
              <w:spacing w:line="276" w:lineRule="auto"/>
              <w:rPr>
                <w:rFonts w:ascii="Garamond" w:hAnsi="Garamond"/>
                <w:bCs/>
              </w:rPr>
            </w:pPr>
            <w:r>
              <w:rPr>
                <w:rFonts w:ascii="Garamond" w:hAnsi="Garamond"/>
                <w:bCs/>
              </w:rPr>
              <w:t>Social Conservatism</w:t>
            </w:r>
          </w:p>
        </w:tc>
        <w:tc>
          <w:tcPr>
            <w:tcW w:w="1537" w:type="dxa"/>
            <w:tcBorders>
              <w:bottom w:val="nil"/>
              <w:right w:val="nil"/>
            </w:tcBorders>
          </w:tcPr>
          <w:p w14:paraId="5D37E23A" w14:textId="77777777" w:rsidR="00500E6A" w:rsidRPr="008137EF" w:rsidRDefault="00500E6A" w:rsidP="00DA795C">
            <w:pPr>
              <w:spacing w:line="276" w:lineRule="auto"/>
              <w:rPr>
                <w:rFonts w:ascii="Garamond" w:hAnsi="Garamond"/>
                <w:bCs/>
              </w:rPr>
            </w:pPr>
          </w:p>
        </w:tc>
        <w:tc>
          <w:tcPr>
            <w:tcW w:w="1629" w:type="dxa"/>
            <w:tcBorders>
              <w:left w:val="nil"/>
              <w:bottom w:val="nil"/>
              <w:right w:val="nil"/>
            </w:tcBorders>
          </w:tcPr>
          <w:p w14:paraId="43EEBF82" w14:textId="6B0D346A" w:rsidR="00500E6A" w:rsidRPr="008137EF" w:rsidRDefault="00500E6A" w:rsidP="004516E9">
            <w:pPr>
              <w:spacing w:line="276" w:lineRule="auto"/>
              <w:rPr>
                <w:rFonts w:ascii="Garamond" w:hAnsi="Garamond"/>
                <w:bCs/>
              </w:rPr>
            </w:pPr>
            <w:r>
              <w:rPr>
                <w:rFonts w:ascii="Garamond" w:hAnsi="Garamond"/>
                <w:bCs/>
              </w:rPr>
              <w:t>0.</w:t>
            </w:r>
            <w:r w:rsidR="00B842CD">
              <w:rPr>
                <w:rFonts w:ascii="Garamond" w:hAnsi="Garamond"/>
                <w:bCs/>
              </w:rPr>
              <w:t>22</w:t>
            </w:r>
            <w:r w:rsidR="004516E9">
              <w:rPr>
                <w:rFonts w:ascii="Garamond" w:hAnsi="Garamond"/>
                <w:bCs/>
              </w:rPr>
              <w:t xml:space="preserve"> (0.35</w:t>
            </w:r>
            <w:r w:rsidR="00B842CD">
              <w:rPr>
                <w:rFonts w:ascii="Garamond" w:hAnsi="Garamond"/>
                <w:bCs/>
              </w:rPr>
              <w:t>)</w:t>
            </w:r>
          </w:p>
        </w:tc>
        <w:tc>
          <w:tcPr>
            <w:tcW w:w="1702" w:type="dxa"/>
            <w:tcBorders>
              <w:left w:val="nil"/>
              <w:bottom w:val="nil"/>
            </w:tcBorders>
          </w:tcPr>
          <w:p w14:paraId="3935C268" w14:textId="0E7450A6" w:rsidR="00500E6A" w:rsidRPr="008137EF" w:rsidRDefault="00500E6A" w:rsidP="004516E9">
            <w:pPr>
              <w:spacing w:line="276" w:lineRule="auto"/>
              <w:rPr>
                <w:rFonts w:ascii="Garamond" w:hAnsi="Garamond"/>
                <w:bCs/>
              </w:rPr>
            </w:pPr>
            <w:r>
              <w:rPr>
                <w:rFonts w:ascii="Garamond" w:hAnsi="Garamond"/>
                <w:bCs/>
              </w:rPr>
              <w:t>0.</w:t>
            </w:r>
            <w:r w:rsidR="00B842CD">
              <w:rPr>
                <w:rFonts w:ascii="Garamond" w:hAnsi="Garamond"/>
                <w:bCs/>
              </w:rPr>
              <w:t>18</w:t>
            </w:r>
            <w:r>
              <w:rPr>
                <w:rFonts w:ascii="Garamond" w:hAnsi="Garamond"/>
                <w:bCs/>
              </w:rPr>
              <w:t xml:space="preserve"> (0.</w:t>
            </w:r>
            <w:r w:rsidR="004516E9">
              <w:rPr>
                <w:rFonts w:ascii="Garamond" w:hAnsi="Garamond"/>
                <w:bCs/>
              </w:rPr>
              <w:t>35</w:t>
            </w:r>
            <w:r>
              <w:rPr>
                <w:rFonts w:ascii="Garamond" w:hAnsi="Garamond"/>
                <w:bCs/>
              </w:rPr>
              <w:t>)</w:t>
            </w:r>
          </w:p>
        </w:tc>
      </w:tr>
      <w:tr w:rsidR="00500E6A" w:rsidRPr="008137EF" w14:paraId="6DA46738" w14:textId="77777777" w:rsidTr="00B57C28">
        <w:trPr>
          <w:jc w:val="center"/>
        </w:trPr>
        <w:tc>
          <w:tcPr>
            <w:tcW w:w="2872" w:type="dxa"/>
            <w:tcBorders>
              <w:left w:val="nil"/>
              <w:bottom w:val="nil"/>
            </w:tcBorders>
          </w:tcPr>
          <w:p w14:paraId="058AB423" w14:textId="77777777" w:rsidR="00500E6A" w:rsidRPr="008137EF" w:rsidRDefault="00500E6A" w:rsidP="00DA795C">
            <w:pPr>
              <w:spacing w:line="276" w:lineRule="auto"/>
              <w:rPr>
                <w:rFonts w:ascii="Garamond" w:hAnsi="Garamond"/>
                <w:bCs/>
              </w:rPr>
            </w:pPr>
            <w:r>
              <w:rPr>
                <w:rFonts w:ascii="Garamond" w:hAnsi="Garamond"/>
                <w:bCs/>
              </w:rPr>
              <w:t>Economic Conservativism</w:t>
            </w:r>
          </w:p>
        </w:tc>
        <w:tc>
          <w:tcPr>
            <w:tcW w:w="1537" w:type="dxa"/>
            <w:tcBorders>
              <w:bottom w:val="nil"/>
              <w:right w:val="nil"/>
            </w:tcBorders>
          </w:tcPr>
          <w:p w14:paraId="352D57EA" w14:textId="77777777" w:rsidR="00500E6A" w:rsidRPr="008137EF" w:rsidRDefault="00500E6A" w:rsidP="00DA795C">
            <w:pPr>
              <w:spacing w:line="276" w:lineRule="auto"/>
              <w:rPr>
                <w:rFonts w:ascii="Garamond" w:hAnsi="Garamond"/>
                <w:bCs/>
              </w:rPr>
            </w:pPr>
          </w:p>
        </w:tc>
        <w:tc>
          <w:tcPr>
            <w:tcW w:w="1629" w:type="dxa"/>
            <w:tcBorders>
              <w:left w:val="nil"/>
              <w:bottom w:val="nil"/>
              <w:right w:val="nil"/>
            </w:tcBorders>
          </w:tcPr>
          <w:p w14:paraId="27928480" w14:textId="7E69768D" w:rsidR="00500E6A" w:rsidRPr="008137EF" w:rsidRDefault="004516E9" w:rsidP="004516E9">
            <w:pPr>
              <w:spacing w:line="276" w:lineRule="auto"/>
              <w:rPr>
                <w:rFonts w:ascii="Garamond" w:hAnsi="Garamond"/>
                <w:bCs/>
              </w:rPr>
            </w:pPr>
            <w:r>
              <w:rPr>
                <w:rFonts w:ascii="Garamond" w:hAnsi="Garamond"/>
                <w:bCs/>
              </w:rPr>
              <w:t>–</w:t>
            </w:r>
            <w:r w:rsidR="00500E6A">
              <w:rPr>
                <w:rFonts w:ascii="Garamond" w:hAnsi="Garamond"/>
                <w:bCs/>
              </w:rPr>
              <w:t>0.</w:t>
            </w:r>
            <w:r w:rsidR="00B842CD">
              <w:rPr>
                <w:rFonts w:ascii="Garamond" w:hAnsi="Garamond"/>
                <w:bCs/>
              </w:rPr>
              <w:t>12</w:t>
            </w:r>
            <w:r w:rsidR="00500E6A">
              <w:rPr>
                <w:rFonts w:ascii="Garamond" w:hAnsi="Garamond"/>
                <w:bCs/>
              </w:rPr>
              <w:t xml:space="preserve"> (0.</w:t>
            </w:r>
            <w:r>
              <w:rPr>
                <w:rFonts w:ascii="Garamond" w:hAnsi="Garamond"/>
                <w:bCs/>
              </w:rPr>
              <w:t>35</w:t>
            </w:r>
            <w:r w:rsidR="00500E6A">
              <w:rPr>
                <w:rFonts w:ascii="Garamond" w:hAnsi="Garamond"/>
                <w:bCs/>
              </w:rPr>
              <w:t>)</w:t>
            </w:r>
          </w:p>
        </w:tc>
        <w:tc>
          <w:tcPr>
            <w:tcW w:w="1702" w:type="dxa"/>
            <w:tcBorders>
              <w:left w:val="nil"/>
              <w:bottom w:val="nil"/>
            </w:tcBorders>
          </w:tcPr>
          <w:p w14:paraId="3AF1E9D5" w14:textId="4F823372" w:rsidR="00500E6A" w:rsidRPr="008137EF" w:rsidRDefault="004516E9" w:rsidP="004516E9">
            <w:pPr>
              <w:spacing w:line="276" w:lineRule="auto"/>
              <w:rPr>
                <w:rFonts w:ascii="Garamond" w:hAnsi="Garamond"/>
                <w:bCs/>
              </w:rPr>
            </w:pPr>
            <w:r>
              <w:rPr>
                <w:rFonts w:ascii="Garamond" w:hAnsi="Garamond"/>
                <w:bCs/>
              </w:rPr>
              <w:t>–</w:t>
            </w:r>
            <w:r w:rsidR="00500E6A">
              <w:rPr>
                <w:rFonts w:ascii="Garamond" w:hAnsi="Garamond"/>
                <w:bCs/>
              </w:rPr>
              <w:t>0.</w:t>
            </w:r>
            <w:r w:rsidR="00B842CD">
              <w:rPr>
                <w:rFonts w:ascii="Garamond" w:hAnsi="Garamond"/>
                <w:bCs/>
              </w:rPr>
              <w:t>14</w:t>
            </w:r>
            <w:r w:rsidR="00500E6A">
              <w:rPr>
                <w:rFonts w:ascii="Garamond" w:hAnsi="Garamond"/>
                <w:bCs/>
              </w:rPr>
              <w:t xml:space="preserve"> (0.</w:t>
            </w:r>
            <w:r>
              <w:rPr>
                <w:rFonts w:ascii="Garamond" w:hAnsi="Garamond"/>
                <w:bCs/>
              </w:rPr>
              <w:t>36</w:t>
            </w:r>
            <w:r w:rsidR="00500E6A">
              <w:rPr>
                <w:rFonts w:ascii="Garamond" w:hAnsi="Garamond"/>
                <w:bCs/>
              </w:rPr>
              <w:t>)</w:t>
            </w:r>
          </w:p>
        </w:tc>
      </w:tr>
      <w:tr w:rsidR="00500E6A" w:rsidRPr="008137EF" w14:paraId="3D4756BD" w14:textId="77777777" w:rsidTr="00B57C28">
        <w:trPr>
          <w:jc w:val="center"/>
        </w:trPr>
        <w:tc>
          <w:tcPr>
            <w:tcW w:w="2872" w:type="dxa"/>
            <w:tcBorders>
              <w:left w:val="nil"/>
              <w:bottom w:val="nil"/>
            </w:tcBorders>
          </w:tcPr>
          <w:p w14:paraId="5718BD30" w14:textId="77777777" w:rsidR="00500E6A" w:rsidRPr="008137EF" w:rsidRDefault="00500E6A" w:rsidP="00DA795C">
            <w:pPr>
              <w:spacing w:line="276" w:lineRule="auto"/>
              <w:rPr>
                <w:rFonts w:ascii="Garamond" w:hAnsi="Garamond"/>
                <w:bCs/>
              </w:rPr>
            </w:pPr>
            <w:r>
              <w:rPr>
                <w:rFonts w:ascii="Garamond" w:hAnsi="Garamond"/>
                <w:bCs/>
              </w:rPr>
              <w:t>Female</w:t>
            </w:r>
          </w:p>
        </w:tc>
        <w:tc>
          <w:tcPr>
            <w:tcW w:w="1537" w:type="dxa"/>
            <w:tcBorders>
              <w:bottom w:val="nil"/>
              <w:right w:val="nil"/>
            </w:tcBorders>
          </w:tcPr>
          <w:p w14:paraId="6B1EBF5D" w14:textId="77777777" w:rsidR="00500E6A" w:rsidRPr="008137EF" w:rsidRDefault="00500E6A" w:rsidP="00DA795C">
            <w:pPr>
              <w:spacing w:line="276" w:lineRule="auto"/>
              <w:rPr>
                <w:rFonts w:ascii="Garamond" w:hAnsi="Garamond"/>
                <w:bCs/>
              </w:rPr>
            </w:pPr>
          </w:p>
        </w:tc>
        <w:tc>
          <w:tcPr>
            <w:tcW w:w="1629" w:type="dxa"/>
            <w:tcBorders>
              <w:left w:val="nil"/>
              <w:bottom w:val="nil"/>
              <w:right w:val="nil"/>
            </w:tcBorders>
          </w:tcPr>
          <w:p w14:paraId="15A04654" w14:textId="77777777" w:rsidR="00500E6A" w:rsidRPr="008137EF" w:rsidRDefault="00500E6A" w:rsidP="00DA795C">
            <w:pPr>
              <w:spacing w:line="276" w:lineRule="auto"/>
              <w:rPr>
                <w:rFonts w:ascii="Garamond" w:hAnsi="Garamond"/>
                <w:bCs/>
              </w:rPr>
            </w:pPr>
          </w:p>
        </w:tc>
        <w:tc>
          <w:tcPr>
            <w:tcW w:w="1702" w:type="dxa"/>
            <w:tcBorders>
              <w:left w:val="nil"/>
              <w:bottom w:val="nil"/>
            </w:tcBorders>
          </w:tcPr>
          <w:p w14:paraId="40B6BB97" w14:textId="6C893BCD" w:rsidR="00500E6A" w:rsidRPr="008137EF" w:rsidRDefault="004516E9" w:rsidP="004516E9">
            <w:pPr>
              <w:spacing w:line="276" w:lineRule="auto"/>
              <w:rPr>
                <w:rFonts w:ascii="Garamond" w:hAnsi="Garamond"/>
                <w:bCs/>
              </w:rPr>
            </w:pPr>
            <w:r>
              <w:rPr>
                <w:rFonts w:ascii="Garamond" w:hAnsi="Garamond"/>
                <w:bCs/>
              </w:rPr>
              <w:t>1.</w:t>
            </w:r>
            <w:r w:rsidR="00B842CD">
              <w:rPr>
                <w:rFonts w:ascii="Garamond" w:hAnsi="Garamond"/>
                <w:bCs/>
              </w:rPr>
              <w:t>49</w:t>
            </w:r>
            <w:r w:rsidR="00500E6A">
              <w:rPr>
                <w:rFonts w:ascii="Garamond" w:hAnsi="Garamond"/>
                <w:bCs/>
              </w:rPr>
              <w:t xml:space="preserve"> (1.</w:t>
            </w:r>
            <w:r>
              <w:rPr>
                <w:rFonts w:ascii="Garamond" w:hAnsi="Garamond"/>
                <w:bCs/>
              </w:rPr>
              <w:t>3</w:t>
            </w:r>
            <w:r w:rsidR="00B842CD">
              <w:rPr>
                <w:rFonts w:ascii="Garamond" w:hAnsi="Garamond"/>
                <w:bCs/>
              </w:rPr>
              <w:t>2</w:t>
            </w:r>
            <w:r w:rsidR="00500E6A">
              <w:rPr>
                <w:rFonts w:ascii="Garamond" w:hAnsi="Garamond"/>
                <w:bCs/>
              </w:rPr>
              <w:t>)</w:t>
            </w:r>
          </w:p>
        </w:tc>
      </w:tr>
      <w:tr w:rsidR="00500E6A" w:rsidRPr="008137EF" w14:paraId="06036778" w14:textId="77777777" w:rsidTr="00B57C28">
        <w:trPr>
          <w:jc w:val="center"/>
        </w:trPr>
        <w:tc>
          <w:tcPr>
            <w:tcW w:w="2872" w:type="dxa"/>
            <w:tcBorders>
              <w:left w:val="nil"/>
              <w:bottom w:val="nil"/>
            </w:tcBorders>
          </w:tcPr>
          <w:p w14:paraId="74D7640D" w14:textId="77777777" w:rsidR="00500E6A" w:rsidRDefault="00500E6A" w:rsidP="00DA795C">
            <w:pPr>
              <w:spacing w:line="276" w:lineRule="auto"/>
              <w:rPr>
                <w:rFonts w:ascii="Garamond" w:hAnsi="Garamond"/>
                <w:bCs/>
              </w:rPr>
            </w:pPr>
            <w:r>
              <w:rPr>
                <w:rFonts w:ascii="Garamond" w:hAnsi="Garamond"/>
                <w:bCs/>
              </w:rPr>
              <w:t>Age</w:t>
            </w:r>
          </w:p>
        </w:tc>
        <w:tc>
          <w:tcPr>
            <w:tcW w:w="1537" w:type="dxa"/>
            <w:tcBorders>
              <w:bottom w:val="nil"/>
              <w:right w:val="nil"/>
            </w:tcBorders>
          </w:tcPr>
          <w:p w14:paraId="06264D4C" w14:textId="77777777" w:rsidR="00500E6A" w:rsidRPr="008137EF" w:rsidRDefault="00500E6A" w:rsidP="00DA795C">
            <w:pPr>
              <w:spacing w:line="276" w:lineRule="auto"/>
              <w:rPr>
                <w:rFonts w:ascii="Garamond" w:hAnsi="Garamond"/>
                <w:bCs/>
              </w:rPr>
            </w:pPr>
          </w:p>
        </w:tc>
        <w:tc>
          <w:tcPr>
            <w:tcW w:w="1629" w:type="dxa"/>
            <w:tcBorders>
              <w:left w:val="nil"/>
              <w:bottom w:val="nil"/>
              <w:right w:val="nil"/>
            </w:tcBorders>
          </w:tcPr>
          <w:p w14:paraId="067018C8" w14:textId="77777777" w:rsidR="00500E6A" w:rsidRPr="008137EF" w:rsidRDefault="00500E6A" w:rsidP="00DA795C">
            <w:pPr>
              <w:spacing w:line="276" w:lineRule="auto"/>
              <w:rPr>
                <w:rFonts w:ascii="Garamond" w:hAnsi="Garamond"/>
                <w:bCs/>
              </w:rPr>
            </w:pPr>
          </w:p>
        </w:tc>
        <w:tc>
          <w:tcPr>
            <w:tcW w:w="1702" w:type="dxa"/>
            <w:tcBorders>
              <w:left w:val="nil"/>
              <w:bottom w:val="nil"/>
            </w:tcBorders>
          </w:tcPr>
          <w:p w14:paraId="15735EAA" w14:textId="4804E196" w:rsidR="00500E6A" w:rsidRDefault="004516E9" w:rsidP="004516E9">
            <w:pPr>
              <w:spacing w:line="276" w:lineRule="auto"/>
              <w:rPr>
                <w:rFonts w:ascii="Garamond" w:hAnsi="Garamond"/>
                <w:bCs/>
              </w:rPr>
            </w:pPr>
            <w:r>
              <w:rPr>
                <w:rFonts w:ascii="Garamond" w:hAnsi="Garamond"/>
                <w:bCs/>
              </w:rPr>
              <w:t>0.0</w:t>
            </w:r>
            <w:r w:rsidR="00B842CD">
              <w:rPr>
                <w:rFonts w:ascii="Garamond" w:hAnsi="Garamond"/>
                <w:bCs/>
              </w:rPr>
              <w:t>44</w:t>
            </w:r>
            <w:r w:rsidR="00500E6A">
              <w:rPr>
                <w:rFonts w:ascii="Garamond" w:hAnsi="Garamond"/>
                <w:bCs/>
              </w:rPr>
              <w:t xml:space="preserve"> (0.0</w:t>
            </w:r>
            <w:r>
              <w:rPr>
                <w:rFonts w:ascii="Garamond" w:hAnsi="Garamond"/>
                <w:bCs/>
              </w:rPr>
              <w:t>5</w:t>
            </w:r>
            <w:r w:rsidR="00500E6A">
              <w:rPr>
                <w:rFonts w:ascii="Garamond" w:hAnsi="Garamond"/>
                <w:bCs/>
              </w:rPr>
              <w:t>)</w:t>
            </w:r>
          </w:p>
        </w:tc>
      </w:tr>
      <w:tr w:rsidR="00500E6A" w:rsidRPr="008137EF" w14:paraId="0A32A45E" w14:textId="77777777" w:rsidTr="00B57C28">
        <w:trPr>
          <w:jc w:val="center"/>
        </w:trPr>
        <w:tc>
          <w:tcPr>
            <w:tcW w:w="2872" w:type="dxa"/>
            <w:tcBorders>
              <w:left w:val="nil"/>
              <w:bottom w:val="single" w:sz="4" w:space="0" w:color="auto"/>
            </w:tcBorders>
          </w:tcPr>
          <w:p w14:paraId="4BA5138D" w14:textId="77777777" w:rsidR="00500E6A" w:rsidRPr="008137EF" w:rsidRDefault="00500E6A" w:rsidP="00DA795C">
            <w:pPr>
              <w:spacing w:line="276" w:lineRule="auto"/>
              <w:rPr>
                <w:rFonts w:ascii="Garamond" w:hAnsi="Garamond"/>
                <w:bCs/>
              </w:rPr>
            </w:pPr>
            <w:r>
              <w:rPr>
                <w:rFonts w:ascii="Garamond" w:hAnsi="Garamond"/>
                <w:bCs/>
              </w:rPr>
              <w:t>Income (square-root)</w:t>
            </w:r>
          </w:p>
        </w:tc>
        <w:tc>
          <w:tcPr>
            <w:tcW w:w="1537" w:type="dxa"/>
            <w:tcBorders>
              <w:bottom w:val="single" w:sz="4" w:space="0" w:color="auto"/>
              <w:right w:val="nil"/>
            </w:tcBorders>
          </w:tcPr>
          <w:p w14:paraId="16EBE177" w14:textId="77777777" w:rsidR="00500E6A" w:rsidRPr="008137EF" w:rsidRDefault="00500E6A" w:rsidP="00DA795C">
            <w:pPr>
              <w:spacing w:line="276" w:lineRule="auto"/>
              <w:rPr>
                <w:rFonts w:ascii="Garamond" w:hAnsi="Garamond"/>
                <w:bCs/>
              </w:rPr>
            </w:pPr>
          </w:p>
        </w:tc>
        <w:tc>
          <w:tcPr>
            <w:tcW w:w="1629" w:type="dxa"/>
            <w:tcBorders>
              <w:left w:val="nil"/>
              <w:bottom w:val="single" w:sz="4" w:space="0" w:color="auto"/>
              <w:right w:val="nil"/>
            </w:tcBorders>
          </w:tcPr>
          <w:p w14:paraId="72355284" w14:textId="77777777" w:rsidR="00500E6A" w:rsidRPr="008137EF" w:rsidRDefault="00500E6A" w:rsidP="00DA795C">
            <w:pPr>
              <w:spacing w:line="276" w:lineRule="auto"/>
              <w:rPr>
                <w:rFonts w:ascii="Garamond" w:hAnsi="Garamond"/>
                <w:bCs/>
              </w:rPr>
            </w:pPr>
          </w:p>
        </w:tc>
        <w:tc>
          <w:tcPr>
            <w:tcW w:w="1702" w:type="dxa"/>
            <w:tcBorders>
              <w:left w:val="nil"/>
              <w:bottom w:val="single" w:sz="4" w:space="0" w:color="auto"/>
            </w:tcBorders>
          </w:tcPr>
          <w:p w14:paraId="02AB8C51" w14:textId="5AFCD243" w:rsidR="00500E6A" w:rsidRPr="008137EF" w:rsidRDefault="00500E6A" w:rsidP="004516E9">
            <w:pPr>
              <w:spacing w:line="276" w:lineRule="auto"/>
              <w:rPr>
                <w:rFonts w:ascii="Garamond" w:hAnsi="Garamond"/>
                <w:bCs/>
              </w:rPr>
            </w:pPr>
            <w:r>
              <w:rPr>
                <w:rFonts w:ascii="Garamond" w:hAnsi="Garamond"/>
                <w:bCs/>
              </w:rPr>
              <w:t>0.0</w:t>
            </w:r>
            <w:r w:rsidR="00B842CD">
              <w:rPr>
                <w:rFonts w:ascii="Garamond" w:hAnsi="Garamond"/>
                <w:bCs/>
              </w:rPr>
              <w:t>08</w:t>
            </w:r>
            <w:r w:rsidR="004516E9">
              <w:rPr>
                <w:rFonts w:ascii="Garamond" w:hAnsi="Garamond"/>
                <w:bCs/>
              </w:rPr>
              <w:t xml:space="preserve"> (0.0</w:t>
            </w:r>
            <w:r w:rsidR="00B842CD">
              <w:rPr>
                <w:rFonts w:ascii="Garamond" w:hAnsi="Garamond"/>
                <w:bCs/>
              </w:rPr>
              <w:t>1</w:t>
            </w:r>
            <w:r>
              <w:rPr>
                <w:rFonts w:ascii="Garamond" w:hAnsi="Garamond"/>
                <w:bCs/>
              </w:rPr>
              <w:t>)</w:t>
            </w:r>
          </w:p>
        </w:tc>
      </w:tr>
      <w:tr w:rsidR="00500E6A" w:rsidRPr="008137EF" w14:paraId="0243D53E" w14:textId="77777777" w:rsidTr="00B57C28">
        <w:trPr>
          <w:trHeight w:val="701"/>
          <w:jc w:val="center"/>
        </w:trPr>
        <w:tc>
          <w:tcPr>
            <w:tcW w:w="7740" w:type="dxa"/>
            <w:gridSpan w:val="4"/>
            <w:tcBorders>
              <w:top w:val="single" w:sz="4" w:space="0" w:color="auto"/>
              <w:left w:val="nil"/>
              <w:bottom w:val="nil"/>
            </w:tcBorders>
          </w:tcPr>
          <w:p w14:paraId="3D3D2033" w14:textId="77777777" w:rsidR="00500E6A" w:rsidRPr="00273AC3" w:rsidRDefault="00500E6A" w:rsidP="00DA795C">
            <w:pPr>
              <w:spacing w:line="276" w:lineRule="auto"/>
              <w:jc w:val="center"/>
              <w:rPr>
                <w:rFonts w:ascii="Garamond" w:hAnsi="Garamond"/>
                <w:bCs/>
                <w:i/>
                <w:sz w:val="20"/>
                <w:szCs w:val="20"/>
              </w:rPr>
            </w:pPr>
            <w:r w:rsidRPr="00273AC3">
              <w:rPr>
                <w:rFonts w:ascii="Garamond" w:hAnsi="Garamond"/>
                <w:bCs/>
                <w:sz w:val="20"/>
                <w:szCs w:val="20"/>
              </w:rPr>
              <w:t xml:space="preserve">*** </w:t>
            </w:r>
            <w:r w:rsidRPr="00273AC3">
              <w:rPr>
                <w:rFonts w:ascii="Garamond" w:hAnsi="Garamond"/>
                <w:bCs/>
                <w:i/>
                <w:sz w:val="20"/>
                <w:szCs w:val="20"/>
              </w:rPr>
              <w:t>p</w:t>
            </w:r>
            <w:r w:rsidRPr="00273AC3">
              <w:rPr>
                <w:rFonts w:ascii="Garamond" w:hAnsi="Garamond"/>
                <w:bCs/>
                <w:sz w:val="20"/>
                <w:szCs w:val="20"/>
              </w:rPr>
              <w:t xml:space="preserve"> &lt; .001         ** </w:t>
            </w:r>
            <w:r w:rsidRPr="00273AC3">
              <w:rPr>
                <w:rFonts w:ascii="Garamond" w:hAnsi="Garamond"/>
                <w:bCs/>
                <w:i/>
                <w:sz w:val="20"/>
                <w:szCs w:val="20"/>
              </w:rPr>
              <w:t>p</w:t>
            </w:r>
            <w:r w:rsidRPr="00273AC3">
              <w:rPr>
                <w:rFonts w:ascii="Garamond" w:hAnsi="Garamond"/>
                <w:bCs/>
                <w:sz w:val="20"/>
                <w:szCs w:val="20"/>
              </w:rPr>
              <w:t xml:space="preserve"> &lt; .01        * </w:t>
            </w:r>
            <w:r w:rsidRPr="00273AC3">
              <w:rPr>
                <w:rFonts w:ascii="Garamond" w:hAnsi="Garamond"/>
                <w:bCs/>
                <w:i/>
                <w:sz w:val="20"/>
                <w:szCs w:val="20"/>
              </w:rPr>
              <w:t>p</w:t>
            </w:r>
            <w:r w:rsidRPr="00273AC3">
              <w:rPr>
                <w:rFonts w:ascii="Garamond" w:hAnsi="Garamond"/>
                <w:bCs/>
                <w:sz w:val="20"/>
                <w:szCs w:val="20"/>
              </w:rPr>
              <w:t xml:space="preserve"> &lt; .05        º </w:t>
            </w:r>
            <w:r w:rsidRPr="00273AC3">
              <w:rPr>
                <w:rFonts w:ascii="Garamond" w:hAnsi="Garamond"/>
                <w:bCs/>
                <w:i/>
                <w:sz w:val="20"/>
                <w:szCs w:val="20"/>
              </w:rPr>
              <w:t>p</w:t>
            </w:r>
            <w:r w:rsidRPr="00273AC3">
              <w:rPr>
                <w:rFonts w:ascii="Garamond" w:hAnsi="Garamond"/>
                <w:bCs/>
                <w:sz w:val="20"/>
                <w:szCs w:val="20"/>
              </w:rPr>
              <w:t xml:space="preserve"> &lt; .10</w:t>
            </w:r>
          </w:p>
          <w:p w14:paraId="6D091B4B" w14:textId="77777777" w:rsidR="00500E6A" w:rsidRPr="00273AC3" w:rsidRDefault="00500E6A" w:rsidP="00DA795C">
            <w:pPr>
              <w:spacing w:line="276" w:lineRule="auto"/>
              <w:rPr>
                <w:rFonts w:ascii="Garamond" w:hAnsi="Garamond"/>
                <w:b/>
                <w:bCs/>
                <w:sz w:val="10"/>
                <w:szCs w:val="10"/>
              </w:rPr>
            </w:pPr>
          </w:p>
          <w:p w14:paraId="1168F320" w14:textId="105D122F" w:rsidR="00500E6A" w:rsidRPr="008137EF" w:rsidRDefault="00500E6A" w:rsidP="004516E9">
            <w:pPr>
              <w:spacing w:line="276" w:lineRule="auto"/>
              <w:rPr>
                <w:rFonts w:ascii="Garamond" w:hAnsi="Garamond"/>
                <w:bCs/>
                <w:i/>
              </w:rPr>
            </w:pPr>
            <w:r w:rsidRPr="008137EF">
              <w:rPr>
                <w:rFonts w:ascii="Garamond" w:hAnsi="Garamond"/>
                <w:b/>
                <w:bCs/>
              </w:rPr>
              <w:t xml:space="preserve">Table </w:t>
            </w:r>
            <w:r w:rsidR="004516E9">
              <w:rPr>
                <w:rFonts w:ascii="Garamond" w:hAnsi="Garamond"/>
                <w:b/>
                <w:bCs/>
              </w:rPr>
              <w:t>S</w:t>
            </w:r>
            <w:r w:rsidR="005C48F3">
              <w:rPr>
                <w:rFonts w:ascii="Garamond" w:hAnsi="Garamond"/>
                <w:b/>
                <w:bCs/>
              </w:rPr>
              <w:t>2</w:t>
            </w:r>
            <w:r w:rsidRPr="008137EF">
              <w:rPr>
                <w:rFonts w:ascii="Garamond" w:hAnsi="Garamond"/>
                <w:bCs/>
              </w:rPr>
              <w:t xml:space="preserve">. </w:t>
            </w:r>
            <w:r>
              <w:rPr>
                <w:rFonts w:ascii="Garamond" w:hAnsi="Garamond"/>
                <w:bCs/>
              </w:rPr>
              <w:t xml:space="preserve">Predictors of zero-sum thinking pooling data across </w:t>
            </w:r>
            <w:r w:rsidR="00DA795C">
              <w:rPr>
                <w:rFonts w:ascii="Garamond" w:hAnsi="Garamond"/>
                <w:bCs/>
              </w:rPr>
              <w:t>studies</w:t>
            </w:r>
            <w:r w:rsidRPr="008137EF">
              <w:rPr>
                <w:rFonts w:ascii="Garamond" w:hAnsi="Garamond"/>
                <w:bCs/>
              </w:rPr>
              <w:t>.</w:t>
            </w:r>
          </w:p>
        </w:tc>
      </w:tr>
      <w:tr w:rsidR="00500E6A" w:rsidRPr="008137EF" w14:paraId="7941D733" w14:textId="77777777" w:rsidTr="00B57C28">
        <w:trPr>
          <w:trHeight w:val="315"/>
          <w:jc w:val="center"/>
        </w:trPr>
        <w:tc>
          <w:tcPr>
            <w:tcW w:w="7740" w:type="dxa"/>
            <w:gridSpan w:val="4"/>
            <w:tcBorders>
              <w:top w:val="nil"/>
              <w:left w:val="nil"/>
              <w:bottom w:val="nil"/>
              <w:right w:val="nil"/>
            </w:tcBorders>
          </w:tcPr>
          <w:p w14:paraId="7F584AFD" w14:textId="011FC608" w:rsidR="00500E6A" w:rsidRPr="00273AC3" w:rsidRDefault="00500E6A" w:rsidP="00665423">
            <w:pPr>
              <w:spacing w:line="276" w:lineRule="auto"/>
              <w:jc w:val="both"/>
              <w:rPr>
                <w:rFonts w:ascii="Garamond" w:hAnsi="Garamond"/>
                <w:bCs/>
                <w:sz w:val="18"/>
                <w:szCs w:val="18"/>
              </w:rPr>
            </w:pPr>
            <w:r w:rsidRPr="008137EF">
              <w:rPr>
                <w:rFonts w:ascii="Garamond" w:hAnsi="Garamond"/>
                <w:bCs/>
                <w:i/>
                <w:sz w:val="18"/>
                <w:szCs w:val="18"/>
              </w:rPr>
              <w:t>Note.</w:t>
            </w:r>
            <w:r w:rsidRPr="008137EF">
              <w:rPr>
                <w:rFonts w:ascii="Garamond" w:hAnsi="Garamond"/>
                <w:b/>
                <w:bCs/>
                <w:sz w:val="18"/>
                <w:szCs w:val="18"/>
              </w:rPr>
              <w:t xml:space="preserve"> </w:t>
            </w:r>
            <w:r w:rsidRPr="007021D7">
              <w:rPr>
                <w:rFonts w:ascii="Garamond" w:hAnsi="Garamond"/>
                <w:bCs/>
                <w:sz w:val="18"/>
                <w:szCs w:val="18"/>
              </w:rPr>
              <w:t>Coefficients</w:t>
            </w:r>
            <w:r>
              <w:rPr>
                <w:rFonts w:ascii="Garamond" w:hAnsi="Garamond"/>
                <w:bCs/>
                <w:sz w:val="18"/>
                <w:szCs w:val="18"/>
              </w:rPr>
              <w:t xml:space="preserve"> (SEs)</w:t>
            </w:r>
            <w:r>
              <w:rPr>
                <w:rFonts w:ascii="Garamond" w:hAnsi="Garamond"/>
                <w:b/>
                <w:bCs/>
                <w:sz w:val="18"/>
                <w:szCs w:val="18"/>
              </w:rPr>
              <w:t xml:space="preserve"> </w:t>
            </w:r>
            <w:r>
              <w:rPr>
                <w:rFonts w:ascii="Garamond" w:hAnsi="Garamond"/>
                <w:bCs/>
                <w:sz w:val="18"/>
                <w:szCs w:val="18"/>
              </w:rPr>
              <w:t>predicting the proportion (multiplied by 100) of parties regarded as non-beneficiaries.</w:t>
            </w:r>
          </w:p>
        </w:tc>
      </w:tr>
    </w:tbl>
    <w:p w14:paraId="6DE9CA11" w14:textId="77777777" w:rsidR="00500E6A" w:rsidRDefault="00500E6A" w:rsidP="00500E6A">
      <w:pPr>
        <w:spacing w:line="276" w:lineRule="auto"/>
        <w:jc w:val="both"/>
        <w:rPr>
          <w:rFonts w:ascii="Garamond" w:hAnsi="Garamond"/>
          <w:bCs/>
        </w:rPr>
      </w:pPr>
    </w:p>
    <w:p w14:paraId="5A661A8E" w14:textId="53464B48" w:rsidR="00500E6A" w:rsidRPr="000628A6" w:rsidRDefault="00500E6A" w:rsidP="009D164A">
      <w:pPr>
        <w:spacing w:line="276" w:lineRule="auto"/>
        <w:ind w:firstLine="360"/>
        <w:jc w:val="both"/>
        <w:rPr>
          <w:rFonts w:ascii="Garamond" w:hAnsi="Garamond"/>
          <w:bCs/>
        </w:rPr>
      </w:pPr>
      <w:r>
        <w:rPr>
          <w:rFonts w:ascii="Garamond" w:hAnsi="Garamond"/>
          <w:bCs/>
        </w:rPr>
        <w:t xml:space="preserve">Another possibility, however, is that the political dynamics are somewhat more complex than these models suggest. </w:t>
      </w:r>
      <w:r w:rsidR="00002033">
        <w:rPr>
          <w:rFonts w:ascii="Garamond" w:hAnsi="Garamond"/>
          <w:bCs/>
        </w:rPr>
        <w:t>Economic conservatism, social conservatism, and political conservatism were all highly correlated in our sample [</w:t>
      </w:r>
      <w:proofErr w:type="spellStart"/>
      <w:r w:rsidR="00002033">
        <w:rPr>
          <w:rFonts w:ascii="Garamond" w:hAnsi="Garamond"/>
          <w:bCs/>
          <w:i/>
        </w:rPr>
        <w:t>r</w:t>
      </w:r>
      <w:r w:rsidR="00002033">
        <w:rPr>
          <w:rFonts w:ascii="Garamond" w:hAnsi="Garamond"/>
          <w:bCs/>
        </w:rPr>
        <w:t>s</w:t>
      </w:r>
      <w:proofErr w:type="spellEnd"/>
      <w:r w:rsidR="00002033">
        <w:rPr>
          <w:rFonts w:ascii="Garamond" w:hAnsi="Garamond"/>
          <w:bCs/>
        </w:rPr>
        <w:t xml:space="preserve"> &gt; .7</w:t>
      </w:r>
      <w:r w:rsidR="00B842CD">
        <w:rPr>
          <w:rFonts w:ascii="Garamond" w:hAnsi="Garamond"/>
          <w:bCs/>
        </w:rPr>
        <w:t>9</w:t>
      </w:r>
      <w:r w:rsidR="00002033">
        <w:rPr>
          <w:rFonts w:ascii="Garamond" w:hAnsi="Garamond"/>
          <w:bCs/>
        </w:rPr>
        <w:t xml:space="preserve">, </w:t>
      </w:r>
      <w:proofErr w:type="spellStart"/>
      <w:r w:rsidR="00002033">
        <w:rPr>
          <w:rFonts w:ascii="Garamond" w:hAnsi="Garamond"/>
          <w:bCs/>
          <w:i/>
        </w:rPr>
        <w:t>p</w:t>
      </w:r>
      <w:r w:rsidR="00002033">
        <w:rPr>
          <w:rFonts w:ascii="Garamond" w:hAnsi="Garamond"/>
          <w:bCs/>
        </w:rPr>
        <w:t>s</w:t>
      </w:r>
      <w:proofErr w:type="spellEnd"/>
      <w:r w:rsidR="00002033">
        <w:rPr>
          <w:rFonts w:ascii="Garamond" w:hAnsi="Garamond"/>
          <w:bCs/>
        </w:rPr>
        <w:t xml:space="preserve"> &lt; .001]. But they do appear to be conceptually distinct. For example, economic conservatism was </w:t>
      </w:r>
      <w:r w:rsidR="00002033">
        <w:rPr>
          <w:rFonts w:ascii="Garamond" w:hAnsi="Garamond"/>
          <w:bCs/>
          <w:i/>
        </w:rPr>
        <w:t>positive</w:t>
      </w:r>
      <w:r w:rsidR="00AA48D9">
        <w:rPr>
          <w:rFonts w:ascii="Garamond" w:hAnsi="Garamond"/>
          <w:bCs/>
          <w:i/>
        </w:rPr>
        <w:t>ly</w:t>
      </w:r>
      <w:r w:rsidR="00002033">
        <w:rPr>
          <w:rFonts w:ascii="Garamond" w:hAnsi="Garamond"/>
          <w:bCs/>
          <w:i/>
        </w:rPr>
        <w:t xml:space="preserve"> </w:t>
      </w:r>
      <w:r w:rsidR="00AA48D9">
        <w:rPr>
          <w:rFonts w:ascii="Garamond" w:hAnsi="Garamond"/>
          <w:bCs/>
        </w:rPr>
        <w:t>associated with</w:t>
      </w:r>
      <w:r w:rsidR="00002033">
        <w:rPr>
          <w:rFonts w:ascii="Garamond" w:hAnsi="Garamond"/>
          <w:bCs/>
        </w:rPr>
        <w:t xml:space="preserve"> both self-reported economics knowledge [</w:t>
      </w:r>
      <w:r w:rsidR="00002033">
        <w:rPr>
          <w:rFonts w:ascii="Garamond" w:hAnsi="Garamond"/>
          <w:bCs/>
          <w:i/>
        </w:rPr>
        <w:t>b</w:t>
      </w:r>
      <w:r w:rsidR="00002033">
        <w:rPr>
          <w:rFonts w:ascii="Garamond" w:hAnsi="Garamond"/>
          <w:bCs/>
        </w:rPr>
        <w:t xml:space="preserve"> = 0.09, </w:t>
      </w:r>
      <w:r w:rsidR="00002033">
        <w:rPr>
          <w:rFonts w:ascii="Garamond" w:hAnsi="Garamond"/>
          <w:bCs/>
          <w:i/>
        </w:rPr>
        <w:t>p</w:t>
      </w:r>
      <w:r w:rsidR="00002033">
        <w:rPr>
          <w:rFonts w:ascii="Garamond" w:hAnsi="Garamond"/>
          <w:bCs/>
        </w:rPr>
        <w:t xml:space="preserve"> = .019] and formal economics coursework [</w:t>
      </w:r>
      <w:r w:rsidR="00002033">
        <w:rPr>
          <w:rFonts w:ascii="Garamond" w:hAnsi="Garamond"/>
          <w:bCs/>
          <w:i/>
        </w:rPr>
        <w:t>b</w:t>
      </w:r>
      <w:r w:rsidR="00002033">
        <w:rPr>
          <w:rFonts w:ascii="Garamond" w:hAnsi="Garamond"/>
          <w:bCs/>
        </w:rPr>
        <w:t xml:space="preserve"> = </w:t>
      </w:r>
      <w:r w:rsidR="009D164A">
        <w:rPr>
          <w:rFonts w:ascii="Garamond" w:hAnsi="Garamond"/>
          <w:bCs/>
        </w:rPr>
        <w:t>0.1</w:t>
      </w:r>
      <w:r w:rsidR="00B842CD">
        <w:rPr>
          <w:rFonts w:ascii="Garamond" w:hAnsi="Garamond"/>
          <w:bCs/>
        </w:rPr>
        <w:t>5</w:t>
      </w:r>
      <w:r w:rsidR="009D164A">
        <w:rPr>
          <w:rFonts w:ascii="Garamond" w:hAnsi="Garamond"/>
          <w:bCs/>
        </w:rPr>
        <w:t xml:space="preserve">, </w:t>
      </w:r>
      <w:r w:rsidR="009D164A">
        <w:rPr>
          <w:rFonts w:ascii="Garamond" w:hAnsi="Garamond"/>
          <w:bCs/>
          <w:i/>
        </w:rPr>
        <w:t>p</w:t>
      </w:r>
      <w:r w:rsidR="009D164A">
        <w:rPr>
          <w:rFonts w:ascii="Garamond" w:hAnsi="Garamond"/>
          <w:bCs/>
        </w:rPr>
        <w:t xml:space="preserve"> &lt; .001], while social conservatism had no association with economics knowledge [</w:t>
      </w:r>
      <w:r w:rsidR="009D164A">
        <w:rPr>
          <w:rFonts w:ascii="Garamond" w:hAnsi="Garamond"/>
          <w:bCs/>
          <w:i/>
        </w:rPr>
        <w:t>b</w:t>
      </w:r>
      <w:r w:rsidR="009D164A">
        <w:rPr>
          <w:rFonts w:ascii="Garamond" w:hAnsi="Garamond"/>
          <w:bCs/>
        </w:rPr>
        <w:t xml:space="preserve"> = </w:t>
      </w:r>
      <w:r w:rsidR="00B842CD">
        <w:rPr>
          <w:rFonts w:ascii="Garamond" w:hAnsi="Garamond"/>
          <w:bCs/>
        </w:rPr>
        <w:t>–</w:t>
      </w:r>
      <w:r w:rsidR="009D164A">
        <w:rPr>
          <w:rFonts w:ascii="Garamond" w:hAnsi="Garamond"/>
          <w:bCs/>
        </w:rPr>
        <w:t>0.0</w:t>
      </w:r>
      <w:r w:rsidR="00B842CD">
        <w:rPr>
          <w:rFonts w:ascii="Garamond" w:hAnsi="Garamond"/>
          <w:bCs/>
        </w:rPr>
        <w:t>0</w:t>
      </w:r>
      <w:r w:rsidR="009D164A">
        <w:rPr>
          <w:rFonts w:ascii="Garamond" w:hAnsi="Garamond"/>
          <w:bCs/>
        </w:rPr>
        <w:t xml:space="preserve">, </w:t>
      </w:r>
      <w:r w:rsidR="009D164A">
        <w:rPr>
          <w:rFonts w:ascii="Garamond" w:hAnsi="Garamond"/>
          <w:bCs/>
          <w:i/>
        </w:rPr>
        <w:t>p</w:t>
      </w:r>
      <w:r w:rsidR="009D164A">
        <w:rPr>
          <w:rFonts w:ascii="Garamond" w:hAnsi="Garamond"/>
          <w:bCs/>
        </w:rPr>
        <w:t xml:space="preserve"> = .</w:t>
      </w:r>
      <w:r w:rsidR="00B842CD">
        <w:rPr>
          <w:rFonts w:ascii="Garamond" w:hAnsi="Garamond"/>
          <w:bCs/>
        </w:rPr>
        <w:t>93</w:t>
      </w:r>
      <w:r w:rsidR="009D164A">
        <w:rPr>
          <w:rFonts w:ascii="Garamond" w:hAnsi="Garamond"/>
          <w:bCs/>
        </w:rPr>
        <w:t xml:space="preserve">] and a </w:t>
      </w:r>
      <w:r w:rsidR="009D164A">
        <w:rPr>
          <w:rFonts w:ascii="Garamond" w:hAnsi="Garamond"/>
          <w:bCs/>
          <w:i/>
        </w:rPr>
        <w:t xml:space="preserve">negative </w:t>
      </w:r>
      <w:r w:rsidR="009D164A">
        <w:rPr>
          <w:rFonts w:ascii="Garamond" w:hAnsi="Garamond"/>
          <w:bCs/>
        </w:rPr>
        <w:t>relationship with economics coursework [</w:t>
      </w:r>
      <w:r w:rsidR="009D164A">
        <w:rPr>
          <w:rFonts w:ascii="Garamond" w:hAnsi="Garamond"/>
          <w:bCs/>
          <w:i/>
        </w:rPr>
        <w:t>b</w:t>
      </w:r>
      <w:r w:rsidR="009D164A">
        <w:rPr>
          <w:rFonts w:ascii="Garamond" w:hAnsi="Garamond"/>
          <w:bCs/>
        </w:rPr>
        <w:t xml:space="preserve"> = –0.0</w:t>
      </w:r>
      <w:r w:rsidR="00B842CD">
        <w:rPr>
          <w:rFonts w:ascii="Garamond" w:hAnsi="Garamond"/>
          <w:bCs/>
        </w:rPr>
        <w:t>8</w:t>
      </w:r>
      <w:r w:rsidR="009D164A">
        <w:rPr>
          <w:rFonts w:ascii="Garamond" w:hAnsi="Garamond"/>
          <w:bCs/>
        </w:rPr>
        <w:t xml:space="preserve">, </w:t>
      </w:r>
      <w:r w:rsidR="009D164A">
        <w:rPr>
          <w:rFonts w:ascii="Garamond" w:hAnsi="Garamond"/>
          <w:bCs/>
          <w:i/>
        </w:rPr>
        <w:t>p</w:t>
      </w:r>
      <w:r w:rsidR="009D164A">
        <w:rPr>
          <w:rFonts w:ascii="Garamond" w:hAnsi="Garamond"/>
          <w:bCs/>
        </w:rPr>
        <w:t xml:space="preserve"> = .01</w:t>
      </w:r>
      <w:r w:rsidR="00B842CD">
        <w:rPr>
          <w:rFonts w:ascii="Garamond" w:hAnsi="Garamond"/>
          <w:bCs/>
        </w:rPr>
        <w:t>1</w:t>
      </w:r>
      <w:r w:rsidR="009D164A">
        <w:rPr>
          <w:rFonts w:ascii="Garamond" w:hAnsi="Garamond"/>
          <w:bCs/>
        </w:rPr>
        <w:t xml:space="preserve">]. Given the link between economics knowledge and lower levels of win–win denial, it could be that </w:t>
      </w:r>
      <w:r>
        <w:rPr>
          <w:rFonts w:ascii="Garamond" w:hAnsi="Garamond"/>
          <w:bCs/>
        </w:rPr>
        <w:t>social conservatism and economic conservatism have opposite effects on zero-sum thinking, which are difficult to detect because they are so strongly correlated in our politically partisan environment.</w:t>
      </w:r>
    </w:p>
    <w:p w14:paraId="1A159800" w14:textId="2300521E" w:rsidR="00500E6A" w:rsidRDefault="00500E6A" w:rsidP="00500E6A">
      <w:pPr>
        <w:spacing w:line="276" w:lineRule="auto"/>
        <w:ind w:firstLine="360"/>
        <w:jc w:val="both"/>
        <w:rPr>
          <w:rFonts w:ascii="Garamond" w:hAnsi="Garamond"/>
          <w:bCs/>
        </w:rPr>
      </w:pPr>
      <w:r>
        <w:rPr>
          <w:rFonts w:ascii="Garamond" w:hAnsi="Garamond"/>
          <w:bCs/>
        </w:rPr>
        <w:t>Finally, Model 3 added demographic variables (gender, age, income) to the model, none of which had any additional predictive value.</w:t>
      </w:r>
      <w:r w:rsidR="009D164A">
        <w:rPr>
          <w:rFonts w:ascii="Garamond" w:hAnsi="Garamond"/>
          <w:bCs/>
        </w:rPr>
        <w:t xml:space="preserve"> This is </w:t>
      </w:r>
      <w:r w:rsidR="000723AB">
        <w:rPr>
          <w:rFonts w:ascii="Garamond" w:hAnsi="Garamond"/>
          <w:bCs/>
        </w:rPr>
        <w:t>important to the extent that we wish to generalize the current results beyond the sampled population of Mechanical Turk workers, as one might argue that this population is relatively low in socioeconomic status and thus more prone to perceiving themselves as made worse-off by economic forces. But we see little evidence for this story, given no link between income and win–win denial within our sample.</w:t>
      </w:r>
    </w:p>
    <w:p w14:paraId="301E1D4F" w14:textId="773BE933" w:rsidR="00E1765F" w:rsidRPr="008137EF" w:rsidRDefault="00500E6A" w:rsidP="00B57C28">
      <w:pPr>
        <w:spacing w:line="276" w:lineRule="auto"/>
        <w:ind w:firstLine="360"/>
        <w:jc w:val="both"/>
        <w:rPr>
          <w:rFonts w:ascii="Garamond" w:hAnsi="Garamond"/>
          <w:bCs/>
        </w:rPr>
      </w:pPr>
      <w:r>
        <w:rPr>
          <w:rFonts w:ascii="Garamond" w:hAnsi="Garamond"/>
          <w:bCs/>
        </w:rPr>
        <w:t>Despite some significant predictors across these models</w:t>
      </w:r>
      <w:r w:rsidRPr="008137EF">
        <w:rPr>
          <w:rFonts w:ascii="Garamond" w:hAnsi="Garamond"/>
          <w:bCs/>
        </w:rPr>
        <w:t xml:space="preserve">, what is perhaps most striking is how </w:t>
      </w:r>
      <w:r w:rsidRPr="008137EF">
        <w:rPr>
          <w:rFonts w:ascii="Garamond" w:hAnsi="Garamond"/>
          <w:bCs/>
          <w:i/>
        </w:rPr>
        <w:t>little</w:t>
      </w:r>
      <w:r w:rsidRPr="008137EF">
        <w:rPr>
          <w:rFonts w:ascii="Garamond" w:hAnsi="Garamond"/>
          <w:bCs/>
        </w:rPr>
        <w:t xml:space="preserve"> of the variability is explained by </w:t>
      </w:r>
      <w:r>
        <w:rPr>
          <w:rFonts w:ascii="Garamond" w:hAnsi="Garamond"/>
          <w:bCs/>
        </w:rPr>
        <w:t>individual difference variables</w:t>
      </w:r>
      <w:r w:rsidRPr="008137EF">
        <w:rPr>
          <w:rFonts w:ascii="Garamond" w:hAnsi="Garamond"/>
          <w:bCs/>
        </w:rPr>
        <w:t xml:space="preserve">, even in cases where the factors had a statistically reliable effect. At least among our American participants, zero-sum thinking appears to </w:t>
      </w:r>
      <w:r>
        <w:rPr>
          <w:rFonts w:ascii="Garamond" w:hAnsi="Garamond"/>
          <w:bCs/>
        </w:rPr>
        <w:t xml:space="preserve">generalize across </w:t>
      </w:r>
      <w:r w:rsidRPr="008137EF">
        <w:rPr>
          <w:rFonts w:ascii="Garamond" w:hAnsi="Garamond"/>
          <w:bCs/>
        </w:rPr>
        <w:t xml:space="preserve">people with very different political beliefs, educational backgrounds, and income levels. Apparently the zero-sum misconception is deeply rooted in human beings, and even extensive economics education does </w:t>
      </w:r>
      <w:r w:rsidR="000723AB">
        <w:rPr>
          <w:rFonts w:ascii="Garamond" w:hAnsi="Garamond"/>
          <w:bCs/>
        </w:rPr>
        <w:t>less than one would hope</w:t>
      </w:r>
      <w:r w:rsidRPr="008137EF">
        <w:rPr>
          <w:rFonts w:ascii="Garamond" w:hAnsi="Garamond"/>
          <w:bCs/>
        </w:rPr>
        <w:t xml:space="preserve"> to root it out. The various manipulations explored in the current studies may be a more effective wedge to influence beliefs and behaviors.</w:t>
      </w:r>
    </w:p>
    <w:sectPr w:rsidR="00E1765F" w:rsidRPr="008137EF" w:rsidSect="00C036E1">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BE7A7" w14:textId="77777777" w:rsidR="001108BB" w:rsidRDefault="001108BB" w:rsidP="00B84DF3">
      <w:r>
        <w:separator/>
      </w:r>
    </w:p>
  </w:endnote>
  <w:endnote w:type="continuationSeparator" w:id="0">
    <w:p w14:paraId="6F998F67" w14:textId="77777777" w:rsidR="001108BB" w:rsidRDefault="001108BB" w:rsidP="00B8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Ɛ²"/>
    <w:panose1 w:val="0200050000000000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ACBC4" w14:textId="77777777" w:rsidR="001108BB" w:rsidRDefault="001108BB" w:rsidP="00B84DF3">
      <w:r>
        <w:separator/>
      </w:r>
    </w:p>
  </w:footnote>
  <w:footnote w:type="continuationSeparator" w:id="0">
    <w:p w14:paraId="05C78F8F" w14:textId="77777777" w:rsidR="001108BB" w:rsidRDefault="001108BB" w:rsidP="00B8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2AB9" w14:textId="77777777" w:rsidR="00E263A7" w:rsidRDefault="00E263A7" w:rsidP="00DA795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90BB6" w14:textId="77777777" w:rsidR="00E263A7" w:rsidRDefault="00E263A7" w:rsidP="00C036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6E39" w14:textId="77777777" w:rsidR="00E263A7" w:rsidRDefault="00E263A7" w:rsidP="00DA795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F9CAD13" w14:textId="77777777" w:rsidR="00E263A7" w:rsidRDefault="00E263A7" w:rsidP="00C036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522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6043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3AF4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14CF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2CE6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45862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09414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D48C6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0A23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F1CFD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4E72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upperRoman"/>
      <w:lvlText w:val="(%1)"/>
      <w:lvlJc w:val="left"/>
      <w:pPr>
        <w:tabs>
          <w:tab w:val="num" w:pos="720"/>
        </w:tabs>
        <w:ind w:left="720" w:hanging="720"/>
      </w:pPr>
      <w:rPr>
        <w:rFonts w:hint="default"/>
      </w:rPr>
    </w:lvl>
  </w:abstractNum>
  <w:abstractNum w:abstractNumId="12" w15:restartNumberingAfterBreak="0">
    <w:nsid w:val="0EF638A5"/>
    <w:multiLevelType w:val="hybridMultilevel"/>
    <w:tmpl w:val="B926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D5854"/>
    <w:multiLevelType w:val="multilevel"/>
    <w:tmpl w:val="B1EAEB26"/>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1ACD6B18"/>
    <w:multiLevelType w:val="hybridMultilevel"/>
    <w:tmpl w:val="D050156E"/>
    <w:lvl w:ilvl="0" w:tplc="6ADCFA92">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C4F4C08"/>
    <w:multiLevelType w:val="multilevel"/>
    <w:tmpl w:val="2C9CBB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05EB0"/>
    <w:multiLevelType w:val="hybridMultilevel"/>
    <w:tmpl w:val="4BD0C1E8"/>
    <w:lvl w:ilvl="0" w:tplc="2A3A5092">
      <w:start w:val="1"/>
      <w:numFmt w:val="bullet"/>
      <w:lvlText w:val="-"/>
      <w:lvlJc w:val="left"/>
      <w:pPr>
        <w:ind w:left="720" w:hanging="360"/>
      </w:pPr>
      <w:rPr>
        <w:rFonts w:ascii="Adobe Caslon Pro" w:eastAsiaTheme="minorEastAsia" w:hAnsi="Adobe Casl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B2168"/>
    <w:multiLevelType w:val="hybridMultilevel"/>
    <w:tmpl w:val="8E109B16"/>
    <w:lvl w:ilvl="0" w:tplc="2654CDD8">
      <w:start w:val="1"/>
      <w:numFmt w:val="decimal"/>
      <w:lvlText w:val="%1."/>
      <w:lvlJc w:val="left"/>
      <w:pPr>
        <w:ind w:left="621" w:hanging="44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18" w15:restartNumberingAfterBreak="0">
    <w:nsid w:val="2C2008F2"/>
    <w:multiLevelType w:val="hybridMultilevel"/>
    <w:tmpl w:val="5FEC33EC"/>
    <w:lvl w:ilvl="0" w:tplc="1342190C">
      <w:start w:val="1"/>
      <w:numFmt w:val="upp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E97D94"/>
    <w:multiLevelType w:val="multilevel"/>
    <w:tmpl w:val="EB5CC5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6A533B"/>
    <w:multiLevelType w:val="multilevel"/>
    <w:tmpl w:val="7882B6E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3877431"/>
    <w:multiLevelType w:val="hybridMultilevel"/>
    <w:tmpl w:val="86AAB8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7376E70"/>
    <w:multiLevelType w:val="hybridMultilevel"/>
    <w:tmpl w:val="16028E94"/>
    <w:lvl w:ilvl="0" w:tplc="2180B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D67DB"/>
    <w:multiLevelType w:val="hybridMultilevel"/>
    <w:tmpl w:val="4D92389C"/>
    <w:lvl w:ilvl="0" w:tplc="50C2769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A28BF"/>
    <w:multiLevelType w:val="hybridMultilevel"/>
    <w:tmpl w:val="C1B2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85C44"/>
    <w:multiLevelType w:val="hybridMultilevel"/>
    <w:tmpl w:val="C8C27472"/>
    <w:lvl w:ilvl="0" w:tplc="0ED439FC">
      <w:start w:val="6"/>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62E05"/>
    <w:multiLevelType w:val="multilevel"/>
    <w:tmpl w:val="40DEEE2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3811BC9"/>
    <w:multiLevelType w:val="hybridMultilevel"/>
    <w:tmpl w:val="08C6DC06"/>
    <w:lvl w:ilvl="0" w:tplc="90C8D3B2">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0D6164"/>
    <w:multiLevelType w:val="multilevel"/>
    <w:tmpl w:val="014C142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F4E1A96"/>
    <w:multiLevelType w:val="hybridMultilevel"/>
    <w:tmpl w:val="636C9BEC"/>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hint="default"/>
      </w:rPr>
    </w:lvl>
    <w:lvl w:ilvl="8" w:tplc="04090005" w:tentative="1">
      <w:start w:val="1"/>
      <w:numFmt w:val="bullet"/>
      <w:lvlText w:val=""/>
      <w:lvlJc w:val="left"/>
      <w:pPr>
        <w:ind w:left="6661" w:hanging="360"/>
      </w:pPr>
      <w:rPr>
        <w:rFonts w:ascii="Wingdings" w:hAnsi="Wingdings" w:hint="default"/>
      </w:rPr>
    </w:lvl>
  </w:abstractNum>
  <w:num w:numId="1">
    <w:abstractNumId w:val="19"/>
  </w:num>
  <w:num w:numId="2">
    <w:abstractNumId w:val="15"/>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28"/>
  </w:num>
  <w:num w:numId="17">
    <w:abstractNumId w:val="13"/>
  </w:num>
  <w:num w:numId="18">
    <w:abstractNumId w:val="20"/>
  </w:num>
  <w:num w:numId="19">
    <w:abstractNumId w:val="12"/>
  </w:num>
  <w:num w:numId="20">
    <w:abstractNumId w:val="21"/>
  </w:num>
  <w:num w:numId="21">
    <w:abstractNumId w:val="24"/>
  </w:num>
  <w:num w:numId="22">
    <w:abstractNumId w:val="29"/>
  </w:num>
  <w:num w:numId="23">
    <w:abstractNumId w:val="17"/>
  </w:num>
  <w:num w:numId="24">
    <w:abstractNumId w:val="14"/>
  </w:num>
  <w:num w:numId="25">
    <w:abstractNumId w:val="23"/>
  </w:num>
  <w:num w:numId="26">
    <w:abstractNumId w:val="18"/>
  </w:num>
  <w:num w:numId="27">
    <w:abstractNumId w:val="27"/>
  </w:num>
  <w:num w:numId="28">
    <w:abstractNumId w:val="22"/>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22"/>
    <w:rsid w:val="00002033"/>
    <w:rsid w:val="00003221"/>
    <w:rsid w:val="000033C2"/>
    <w:rsid w:val="00003A57"/>
    <w:rsid w:val="00011322"/>
    <w:rsid w:val="0001395A"/>
    <w:rsid w:val="00014041"/>
    <w:rsid w:val="00014A61"/>
    <w:rsid w:val="00014C02"/>
    <w:rsid w:val="00026358"/>
    <w:rsid w:val="00026733"/>
    <w:rsid w:val="00033891"/>
    <w:rsid w:val="000368D8"/>
    <w:rsid w:val="00037CAC"/>
    <w:rsid w:val="000412A1"/>
    <w:rsid w:val="000440AF"/>
    <w:rsid w:val="0004443B"/>
    <w:rsid w:val="000450DF"/>
    <w:rsid w:val="000452B7"/>
    <w:rsid w:val="00045DE9"/>
    <w:rsid w:val="000628A6"/>
    <w:rsid w:val="00063B7C"/>
    <w:rsid w:val="000723AB"/>
    <w:rsid w:val="000727C9"/>
    <w:rsid w:val="000736FC"/>
    <w:rsid w:val="00074E5F"/>
    <w:rsid w:val="00076F76"/>
    <w:rsid w:val="00080F59"/>
    <w:rsid w:val="0008299C"/>
    <w:rsid w:val="0008309A"/>
    <w:rsid w:val="000911D1"/>
    <w:rsid w:val="0009249C"/>
    <w:rsid w:val="00096B2C"/>
    <w:rsid w:val="000972BF"/>
    <w:rsid w:val="000A3505"/>
    <w:rsid w:val="000B13A8"/>
    <w:rsid w:val="000B44B3"/>
    <w:rsid w:val="000C3E4C"/>
    <w:rsid w:val="000C4265"/>
    <w:rsid w:val="000C5DF3"/>
    <w:rsid w:val="000D37BA"/>
    <w:rsid w:val="000D6E21"/>
    <w:rsid w:val="000D7B27"/>
    <w:rsid w:val="000E1CEA"/>
    <w:rsid w:val="000E4558"/>
    <w:rsid w:val="00106729"/>
    <w:rsid w:val="00107C94"/>
    <w:rsid w:val="001108BB"/>
    <w:rsid w:val="00110D28"/>
    <w:rsid w:val="0011259E"/>
    <w:rsid w:val="00113B82"/>
    <w:rsid w:val="00114074"/>
    <w:rsid w:val="00115B9E"/>
    <w:rsid w:val="00117A48"/>
    <w:rsid w:val="00117CDB"/>
    <w:rsid w:val="001203DA"/>
    <w:rsid w:val="001248B7"/>
    <w:rsid w:val="001311F7"/>
    <w:rsid w:val="0013424E"/>
    <w:rsid w:val="00137B63"/>
    <w:rsid w:val="00142305"/>
    <w:rsid w:val="00142857"/>
    <w:rsid w:val="0015268D"/>
    <w:rsid w:val="00152EBF"/>
    <w:rsid w:val="00157CD7"/>
    <w:rsid w:val="0016043B"/>
    <w:rsid w:val="00164B58"/>
    <w:rsid w:val="001710A6"/>
    <w:rsid w:val="0017359D"/>
    <w:rsid w:val="001753B2"/>
    <w:rsid w:val="001760FA"/>
    <w:rsid w:val="00176C8A"/>
    <w:rsid w:val="001824D1"/>
    <w:rsid w:val="00185826"/>
    <w:rsid w:val="00185E23"/>
    <w:rsid w:val="00187A51"/>
    <w:rsid w:val="00193D99"/>
    <w:rsid w:val="0019549C"/>
    <w:rsid w:val="001B28ED"/>
    <w:rsid w:val="001B380D"/>
    <w:rsid w:val="001B4574"/>
    <w:rsid w:val="001B6EF5"/>
    <w:rsid w:val="001B7B31"/>
    <w:rsid w:val="001D7106"/>
    <w:rsid w:val="001F0491"/>
    <w:rsid w:val="001F3578"/>
    <w:rsid w:val="00204B1D"/>
    <w:rsid w:val="002105BE"/>
    <w:rsid w:val="002113DB"/>
    <w:rsid w:val="00217F29"/>
    <w:rsid w:val="002200D7"/>
    <w:rsid w:val="00221273"/>
    <w:rsid w:val="00242A56"/>
    <w:rsid w:val="0024547B"/>
    <w:rsid w:val="002469DE"/>
    <w:rsid w:val="00250AD9"/>
    <w:rsid w:val="00255364"/>
    <w:rsid w:val="00255806"/>
    <w:rsid w:val="00255C34"/>
    <w:rsid w:val="00257C7E"/>
    <w:rsid w:val="00263584"/>
    <w:rsid w:val="002637CD"/>
    <w:rsid w:val="00270ADE"/>
    <w:rsid w:val="002712F7"/>
    <w:rsid w:val="00272D8A"/>
    <w:rsid w:val="00273AC3"/>
    <w:rsid w:val="0027464C"/>
    <w:rsid w:val="00277F3F"/>
    <w:rsid w:val="00285FD1"/>
    <w:rsid w:val="00287C06"/>
    <w:rsid w:val="00290C7B"/>
    <w:rsid w:val="00291D86"/>
    <w:rsid w:val="00291E26"/>
    <w:rsid w:val="0029640C"/>
    <w:rsid w:val="002B150E"/>
    <w:rsid w:val="002B26DD"/>
    <w:rsid w:val="002B34A8"/>
    <w:rsid w:val="002B5B49"/>
    <w:rsid w:val="002B710E"/>
    <w:rsid w:val="002C1450"/>
    <w:rsid w:val="002D0B76"/>
    <w:rsid w:val="002D214F"/>
    <w:rsid w:val="002E53DB"/>
    <w:rsid w:val="002E703C"/>
    <w:rsid w:val="002F016D"/>
    <w:rsid w:val="002F16BC"/>
    <w:rsid w:val="002F73EB"/>
    <w:rsid w:val="002F7817"/>
    <w:rsid w:val="00310604"/>
    <w:rsid w:val="00312DDC"/>
    <w:rsid w:val="00313F00"/>
    <w:rsid w:val="0032337E"/>
    <w:rsid w:val="0032602A"/>
    <w:rsid w:val="003265D4"/>
    <w:rsid w:val="0033118F"/>
    <w:rsid w:val="0033340F"/>
    <w:rsid w:val="0034033D"/>
    <w:rsid w:val="00340936"/>
    <w:rsid w:val="00342ECD"/>
    <w:rsid w:val="0034319B"/>
    <w:rsid w:val="003468A0"/>
    <w:rsid w:val="00363016"/>
    <w:rsid w:val="00364158"/>
    <w:rsid w:val="0036441F"/>
    <w:rsid w:val="00370892"/>
    <w:rsid w:val="0038056F"/>
    <w:rsid w:val="003821F7"/>
    <w:rsid w:val="0038337A"/>
    <w:rsid w:val="00383C46"/>
    <w:rsid w:val="00390DF1"/>
    <w:rsid w:val="003A5804"/>
    <w:rsid w:val="003B166D"/>
    <w:rsid w:val="003C33C4"/>
    <w:rsid w:val="003C7CC9"/>
    <w:rsid w:val="003D500C"/>
    <w:rsid w:val="003E0932"/>
    <w:rsid w:val="003E10F1"/>
    <w:rsid w:val="003E176C"/>
    <w:rsid w:val="00401FB9"/>
    <w:rsid w:val="00405729"/>
    <w:rsid w:val="00415B63"/>
    <w:rsid w:val="00416EC6"/>
    <w:rsid w:val="004243B2"/>
    <w:rsid w:val="004336E6"/>
    <w:rsid w:val="004369F7"/>
    <w:rsid w:val="0043704E"/>
    <w:rsid w:val="004378B1"/>
    <w:rsid w:val="00437CA7"/>
    <w:rsid w:val="004421DC"/>
    <w:rsid w:val="004429F2"/>
    <w:rsid w:val="0044419C"/>
    <w:rsid w:val="00444CE3"/>
    <w:rsid w:val="004516E9"/>
    <w:rsid w:val="00452521"/>
    <w:rsid w:val="00453E98"/>
    <w:rsid w:val="00454DE7"/>
    <w:rsid w:val="004611E8"/>
    <w:rsid w:val="00464BCF"/>
    <w:rsid w:val="004666F2"/>
    <w:rsid w:val="00467FDB"/>
    <w:rsid w:val="004759FC"/>
    <w:rsid w:val="00475B7B"/>
    <w:rsid w:val="00475E94"/>
    <w:rsid w:val="0047779E"/>
    <w:rsid w:val="00483E48"/>
    <w:rsid w:val="004864D6"/>
    <w:rsid w:val="00487A9A"/>
    <w:rsid w:val="00491C0D"/>
    <w:rsid w:val="00494757"/>
    <w:rsid w:val="004969AA"/>
    <w:rsid w:val="004A53C5"/>
    <w:rsid w:val="004A70FA"/>
    <w:rsid w:val="004A7EB8"/>
    <w:rsid w:val="004C31C0"/>
    <w:rsid w:val="004C52A4"/>
    <w:rsid w:val="004C62B4"/>
    <w:rsid w:val="004C6DB5"/>
    <w:rsid w:val="004D2084"/>
    <w:rsid w:val="004D59D6"/>
    <w:rsid w:val="004D758A"/>
    <w:rsid w:val="004E7F53"/>
    <w:rsid w:val="004F5303"/>
    <w:rsid w:val="004F62AC"/>
    <w:rsid w:val="00500036"/>
    <w:rsid w:val="00500E6A"/>
    <w:rsid w:val="00501312"/>
    <w:rsid w:val="005020DA"/>
    <w:rsid w:val="005068E2"/>
    <w:rsid w:val="00516A10"/>
    <w:rsid w:val="0052128A"/>
    <w:rsid w:val="0052234E"/>
    <w:rsid w:val="005244BA"/>
    <w:rsid w:val="00525461"/>
    <w:rsid w:val="00532D51"/>
    <w:rsid w:val="0053311B"/>
    <w:rsid w:val="00540E27"/>
    <w:rsid w:val="00541EDA"/>
    <w:rsid w:val="0054312E"/>
    <w:rsid w:val="00546FEA"/>
    <w:rsid w:val="00550E8B"/>
    <w:rsid w:val="00552208"/>
    <w:rsid w:val="00556501"/>
    <w:rsid w:val="005612FB"/>
    <w:rsid w:val="00562779"/>
    <w:rsid w:val="005647F4"/>
    <w:rsid w:val="00566858"/>
    <w:rsid w:val="00576054"/>
    <w:rsid w:val="00583C8D"/>
    <w:rsid w:val="00583FB6"/>
    <w:rsid w:val="005858BA"/>
    <w:rsid w:val="005949B8"/>
    <w:rsid w:val="005A60FB"/>
    <w:rsid w:val="005B19EA"/>
    <w:rsid w:val="005B3844"/>
    <w:rsid w:val="005B5C44"/>
    <w:rsid w:val="005B67B4"/>
    <w:rsid w:val="005C0287"/>
    <w:rsid w:val="005C246D"/>
    <w:rsid w:val="005C48F3"/>
    <w:rsid w:val="005D050A"/>
    <w:rsid w:val="005D6D64"/>
    <w:rsid w:val="005E748E"/>
    <w:rsid w:val="005F42CD"/>
    <w:rsid w:val="00602F2B"/>
    <w:rsid w:val="006046D6"/>
    <w:rsid w:val="00610465"/>
    <w:rsid w:val="006109F9"/>
    <w:rsid w:val="00611A4A"/>
    <w:rsid w:val="0061248C"/>
    <w:rsid w:val="0062793A"/>
    <w:rsid w:val="006343F1"/>
    <w:rsid w:val="00636167"/>
    <w:rsid w:val="00646B06"/>
    <w:rsid w:val="00652DC9"/>
    <w:rsid w:val="00660402"/>
    <w:rsid w:val="0066188E"/>
    <w:rsid w:val="0066350E"/>
    <w:rsid w:val="00665423"/>
    <w:rsid w:val="006706E4"/>
    <w:rsid w:val="006709EE"/>
    <w:rsid w:val="00680D47"/>
    <w:rsid w:val="00683042"/>
    <w:rsid w:val="00683C64"/>
    <w:rsid w:val="00685928"/>
    <w:rsid w:val="00695DBF"/>
    <w:rsid w:val="006A6B6D"/>
    <w:rsid w:val="006B0937"/>
    <w:rsid w:val="006B0BC1"/>
    <w:rsid w:val="006B16E3"/>
    <w:rsid w:val="006B3DBC"/>
    <w:rsid w:val="006B56E6"/>
    <w:rsid w:val="006B6536"/>
    <w:rsid w:val="006B6FE8"/>
    <w:rsid w:val="006E07D7"/>
    <w:rsid w:val="006E0FD4"/>
    <w:rsid w:val="006E7D77"/>
    <w:rsid w:val="006F35A3"/>
    <w:rsid w:val="006F3838"/>
    <w:rsid w:val="006F54CD"/>
    <w:rsid w:val="00700573"/>
    <w:rsid w:val="007005BE"/>
    <w:rsid w:val="007021D7"/>
    <w:rsid w:val="00704398"/>
    <w:rsid w:val="007055DD"/>
    <w:rsid w:val="0070658E"/>
    <w:rsid w:val="00716DD0"/>
    <w:rsid w:val="0072004E"/>
    <w:rsid w:val="0072142A"/>
    <w:rsid w:val="00727616"/>
    <w:rsid w:val="00735B3E"/>
    <w:rsid w:val="007403C3"/>
    <w:rsid w:val="007439D3"/>
    <w:rsid w:val="00755D43"/>
    <w:rsid w:val="00761691"/>
    <w:rsid w:val="0076260E"/>
    <w:rsid w:val="00763B06"/>
    <w:rsid w:val="00767046"/>
    <w:rsid w:val="007714A6"/>
    <w:rsid w:val="007740AA"/>
    <w:rsid w:val="007768CE"/>
    <w:rsid w:val="00780B65"/>
    <w:rsid w:val="00785B17"/>
    <w:rsid w:val="00791B8D"/>
    <w:rsid w:val="007926BC"/>
    <w:rsid w:val="0079272D"/>
    <w:rsid w:val="00793024"/>
    <w:rsid w:val="00795988"/>
    <w:rsid w:val="007B0464"/>
    <w:rsid w:val="007B0915"/>
    <w:rsid w:val="007B2BEA"/>
    <w:rsid w:val="007C5701"/>
    <w:rsid w:val="007C6403"/>
    <w:rsid w:val="007D5401"/>
    <w:rsid w:val="007E10FE"/>
    <w:rsid w:val="007E5CE4"/>
    <w:rsid w:val="007E61B9"/>
    <w:rsid w:val="007F2518"/>
    <w:rsid w:val="007F5220"/>
    <w:rsid w:val="00800CEF"/>
    <w:rsid w:val="0080209D"/>
    <w:rsid w:val="00802C1E"/>
    <w:rsid w:val="00804865"/>
    <w:rsid w:val="00807998"/>
    <w:rsid w:val="0081115B"/>
    <w:rsid w:val="0081205B"/>
    <w:rsid w:val="008124A1"/>
    <w:rsid w:val="008137EF"/>
    <w:rsid w:val="0081533A"/>
    <w:rsid w:val="008220C8"/>
    <w:rsid w:val="00825F33"/>
    <w:rsid w:val="00832E92"/>
    <w:rsid w:val="00837B93"/>
    <w:rsid w:val="00844E96"/>
    <w:rsid w:val="0085071A"/>
    <w:rsid w:val="00851124"/>
    <w:rsid w:val="00854C9F"/>
    <w:rsid w:val="00860B38"/>
    <w:rsid w:val="00863ABC"/>
    <w:rsid w:val="0086759D"/>
    <w:rsid w:val="008675DD"/>
    <w:rsid w:val="00872E82"/>
    <w:rsid w:val="00873857"/>
    <w:rsid w:val="00876B0C"/>
    <w:rsid w:val="00877B5D"/>
    <w:rsid w:val="00877DF0"/>
    <w:rsid w:val="008930B5"/>
    <w:rsid w:val="00895526"/>
    <w:rsid w:val="008A2DDE"/>
    <w:rsid w:val="008A5B68"/>
    <w:rsid w:val="008A78E9"/>
    <w:rsid w:val="008B403E"/>
    <w:rsid w:val="008C16A0"/>
    <w:rsid w:val="008C2757"/>
    <w:rsid w:val="008C289D"/>
    <w:rsid w:val="008C5E41"/>
    <w:rsid w:val="008D0F1D"/>
    <w:rsid w:val="008D1C5A"/>
    <w:rsid w:val="008D36C1"/>
    <w:rsid w:val="008D4FA2"/>
    <w:rsid w:val="008E7534"/>
    <w:rsid w:val="008F1493"/>
    <w:rsid w:val="008F1CE7"/>
    <w:rsid w:val="008F386E"/>
    <w:rsid w:val="008F5224"/>
    <w:rsid w:val="008F573A"/>
    <w:rsid w:val="008F60AE"/>
    <w:rsid w:val="00900597"/>
    <w:rsid w:val="0090423F"/>
    <w:rsid w:val="0091238F"/>
    <w:rsid w:val="0091387A"/>
    <w:rsid w:val="00926E76"/>
    <w:rsid w:val="00927D45"/>
    <w:rsid w:val="00930337"/>
    <w:rsid w:val="00930983"/>
    <w:rsid w:val="009311C8"/>
    <w:rsid w:val="009515BF"/>
    <w:rsid w:val="0095185A"/>
    <w:rsid w:val="0095302F"/>
    <w:rsid w:val="009675E1"/>
    <w:rsid w:val="00970438"/>
    <w:rsid w:val="00971FAD"/>
    <w:rsid w:val="00977F11"/>
    <w:rsid w:val="009848B1"/>
    <w:rsid w:val="009857C1"/>
    <w:rsid w:val="00985A0B"/>
    <w:rsid w:val="00990CB0"/>
    <w:rsid w:val="00990D20"/>
    <w:rsid w:val="009919A5"/>
    <w:rsid w:val="00996872"/>
    <w:rsid w:val="009B3455"/>
    <w:rsid w:val="009B439E"/>
    <w:rsid w:val="009B608D"/>
    <w:rsid w:val="009B67C7"/>
    <w:rsid w:val="009B7441"/>
    <w:rsid w:val="009C3175"/>
    <w:rsid w:val="009D164A"/>
    <w:rsid w:val="009D3E25"/>
    <w:rsid w:val="009D618A"/>
    <w:rsid w:val="009E0D59"/>
    <w:rsid w:val="009F0E35"/>
    <w:rsid w:val="009F1A9A"/>
    <w:rsid w:val="00A03C0A"/>
    <w:rsid w:val="00A05427"/>
    <w:rsid w:val="00A1693D"/>
    <w:rsid w:val="00A270A2"/>
    <w:rsid w:val="00A309F4"/>
    <w:rsid w:val="00A33C5F"/>
    <w:rsid w:val="00A33DB6"/>
    <w:rsid w:val="00A43784"/>
    <w:rsid w:val="00A4548D"/>
    <w:rsid w:val="00A47FC0"/>
    <w:rsid w:val="00A51C41"/>
    <w:rsid w:val="00A543E5"/>
    <w:rsid w:val="00A60FD8"/>
    <w:rsid w:val="00A617DA"/>
    <w:rsid w:val="00A705DC"/>
    <w:rsid w:val="00A716EB"/>
    <w:rsid w:val="00A728D0"/>
    <w:rsid w:val="00A737F5"/>
    <w:rsid w:val="00A740F3"/>
    <w:rsid w:val="00A76973"/>
    <w:rsid w:val="00A80DFC"/>
    <w:rsid w:val="00A8561A"/>
    <w:rsid w:val="00A87A82"/>
    <w:rsid w:val="00A87E21"/>
    <w:rsid w:val="00A93A0A"/>
    <w:rsid w:val="00A93DE9"/>
    <w:rsid w:val="00A95573"/>
    <w:rsid w:val="00AA13C6"/>
    <w:rsid w:val="00AA3951"/>
    <w:rsid w:val="00AA3C7A"/>
    <w:rsid w:val="00AA3CC8"/>
    <w:rsid w:val="00AA48D9"/>
    <w:rsid w:val="00AA5C6F"/>
    <w:rsid w:val="00AA7E63"/>
    <w:rsid w:val="00AB0183"/>
    <w:rsid w:val="00AB4064"/>
    <w:rsid w:val="00AB4220"/>
    <w:rsid w:val="00AB77E8"/>
    <w:rsid w:val="00AC006C"/>
    <w:rsid w:val="00AC3AD1"/>
    <w:rsid w:val="00AC3B4F"/>
    <w:rsid w:val="00AC7861"/>
    <w:rsid w:val="00AD0E6A"/>
    <w:rsid w:val="00AD127D"/>
    <w:rsid w:val="00AD14B7"/>
    <w:rsid w:val="00AD37D8"/>
    <w:rsid w:val="00AD621A"/>
    <w:rsid w:val="00AE19AA"/>
    <w:rsid w:val="00AE2F1F"/>
    <w:rsid w:val="00AE3C14"/>
    <w:rsid w:val="00AE62F1"/>
    <w:rsid w:val="00AF1E1C"/>
    <w:rsid w:val="00AF6879"/>
    <w:rsid w:val="00B01AD6"/>
    <w:rsid w:val="00B0606C"/>
    <w:rsid w:val="00B078AE"/>
    <w:rsid w:val="00B16AA7"/>
    <w:rsid w:val="00B16C38"/>
    <w:rsid w:val="00B17F5B"/>
    <w:rsid w:val="00B20EB7"/>
    <w:rsid w:val="00B23F0B"/>
    <w:rsid w:val="00B33202"/>
    <w:rsid w:val="00B3608F"/>
    <w:rsid w:val="00B378DE"/>
    <w:rsid w:val="00B379F9"/>
    <w:rsid w:val="00B524CD"/>
    <w:rsid w:val="00B526F3"/>
    <w:rsid w:val="00B5574C"/>
    <w:rsid w:val="00B57C28"/>
    <w:rsid w:val="00B62CBA"/>
    <w:rsid w:val="00B64450"/>
    <w:rsid w:val="00B64D22"/>
    <w:rsid w:val="00B65242"/>
    <w:rsid w:val="00B6704A"/>
    <w:rsid w:val="00B70F64"/>
    <w:rsid w:val="00B73325"/>
    <w:rsid w:val="00B74386"/>
    <w:rsid w:val="00B80872"/>
    <w:rsid w:val="00B8152D"/>
    <w:rsid w:val="00B8300F"/>
    <w:rsid w:val="00B842CD"/>
    <w:rsid w:val="00B84DF3"/>
    <w:rsid w:val="00B85F15"/>
    <w:rsid w:val="00B869B7"/>
    <w:rsid w:val="00B8739D"/>
    <w:rsid w:val="00B873C4"/>
    <w:rsid w:val="00B87E0D"/>
    <w:rsid w:val="00B910BD"/>
    <w:rsid w:val="00B93B1F"/>
    <w:rsid w:val="00B94E73"/>
    <w:rsid w:val="00B95518"/>
    <w:rsid w:val="00BA07A2"/>
    <w:rsid w:val="00BA45CC"/>
    <w:rsid w:val="00BB13FB"/>
    <w:rsid w:val="00BB259F"/>
    <w:rsid w:val="00BB4E89"/>
    <w:rsid w:val="00BC08C5"/>
    <w:rsid w:val="00BC574C"/>
    <w:rsid w:val="00BC6CD0"/>
    <w:rsid w:val="00BD0DCB"/>
    <w:rsid w:val="00BD297C"/>
    <w:rsid w:val="00BD2F07"/>
    <w:rsid w:val="00BD5596"/>
    <w:rsid w:val="00BE0C22"/>
    <w:rsid w:val="00BE21EE"/>
    <w:rsid w:val="00BE474A"/>
    <w:rsid w:val="00BF3A79"/>
    <w:rsid w:val="00BF3EFF"/>
    <w:rsid w:val="00BF5233"/>
    <w:rsid w:val="00BF7FB9"/>
    <w:rsid w:val="00C036E1"/>
    <w:rsid w:val="00C05CBB"/>
    <w:rsid w:val="00C06BA8"/>
    <w:rsid w:val="00C129B4"/>
    <w:rsid w:val="00C22702"/>
    <w:rsid w:val="00C2647D"/>
    <w:rsid w:val="00C35810"/>
    <w:rsid w:val="00C35AD7"/>
    <w:rsid w:val="00C36A85"/>
    <w:rsid w:val="00C37216"/>
    <w:rsid w:val="00C37B9B"/>
    <w:rsid w:val="00C37DEF"/>
    <w:rsid w:val="00C43F7D"/>
    <w:rsid w:val="00C4644C"/>
    <w:rsid w:val="00C471D5"/>
    <w:rsid w:val="00C471E9"/>
    <w:rsid w:val="00C47E05"/>
    <w:rsid w:val="00C553D1"/>
    <w:rsid w:val="00C708AF"/>
    <w:rsid w:val="00C71F72"/>
    <w:rsid w:val="00C72337"/>
    <w:rsid w:val="00C750DD"/>
    <w:rsid w:val="00C804AF"/>
    <w:rsid w:val="00C80ADC"/>
    <w:rsid w:val="00C93F79"/>
    <w:rsid w:val="00CA1911"/>
    <w:rsid w:val="00CA78AE"/>
    <w:rsid w:val="00CA7CDE"/>
    <w:rsid w:val="00CB10B8"/>
    <w:rsid w:val="00CB20F4"/>
    <w:rsid w:val="00CC657F"/>
    <w:rsid w:val="00CD638A"/>
    <w:rsid w:val="00CF1480"/>
    <w:rsid w:val="00CF43FA"/>
    <w:rsid w:val="00CF4945"/>
    <w:rsid w:val="00D0545E"/>
    <w:rsid w:val="00D10262"/>
    <w:rsid w:val="00D1240F"/>
    <w:rsid w:val="00D133D5"/>
    <w:rsid w:val="00D16740"/>
    <w:rsid w:val="00D2406B"/>
    <w:rsid w:val="00D26995"/>
    <w:rsid w:val="00D32EC4"/>
    <w:rsid w:val="00D4186A"/>
    <w:rsid w:val="00D4456E"/>
    <w:rsid w:val="00D467A2"/>
    <w:rsid w:val="00D47E71"/>
    <w:rsid w:val="00D54094"/>
    <w:rsid w:val="00D56D7B"/>
    <w:rsid w:val="00D611A2"/>
    <w:rsid w:val="00D6185F"/>
    <w:rsid w:val="00D6506F"/>
    <w:rsid w:val="00D66FA0"/>
    <w:rsid w:val="00D74149"/>
    <w:rsid w:val="00D74EDF"/>
    <w:rsid w:val="00D7595C"/>
    <w:rsid w:val="00D84898"/>
    <w:rsid w:val="00D85842"/>
    <w:rsid w:val="00D922EB"/>
    <w:rsid w:val="00D960B0"/>
    <w:rsid w:val="00D97ABB"/>
    <w:rsid w:val="00DA7250"/>
    <w:rsid w:val="00DA795C"/>
    <w:rsid w:val="00DB1AE5"/>
    <w:rsid w:val="00DB2A48"/>
    <w:rsid w:val="00DC1B70"/>
    <w:rsid w:val="00DC6BD0"/>
    <w:rsid w:val="00DD1538"/>
    <w:rsid w:val="00DF4DC1"/>
    <w:rsid w:val="00DF6EA7"/>
    <w:rsid w:val="00DF75AF"/>
    <w:rsid w:val="00E04074"/>
    <w:rsid w:val="00E13B82"/>
    <w:rsid w:val="00E163FB"/>
    <w:rsid w:val="00E1765F"/>
    <w:rsid w:val="00E263A7"/>
    <w:rsid w:val="00E269A2"/>
    <w:rsid w:val="00E31E70"/>
    <w:rsid w:val="00E32744"/>
    <w:rsid w:val="00E33541"/>
    <w:rsid w:val="00E35175"/>
    <w:rsid w:val="00E37F8D"/>
    <w:rsid w:val="00E42C02"/>
    <w:rsid w:val="00E47CF2"/>
    <w:rsid w:val="00E62595"/>
    <w:rsid w:val="00E625E2"/>
    <w:rsid w:val="00E62FC1"/>
    <w:rsid w:val="00E66190"/>
    <w:rsid w:val="00E75114"/>
    <w:rsid w:val="00E80FFD"/>
    <w:rsid w:val="00E86EA0"/>
    <w:rsid w:val="00E87269"/>
    <w:rsid w:val="00E90242"/>
    <w:rsid w:val="00E905B5"/>
    <w:rsid w:val="00E94263"/>
    <w:rsid w:val="00E9553E"/>
    <w:rsid w:val="00E97EDF"/>
    <w:rsid w:val="00EA11CF"/>
    <w:rsid w:val="00EB086B"/>
    <w:rsid w:val="00EB0EEB"/>
    <w:rsid w:val="00EB62FD"/>
    <w:rsid w:val="00EB799D"/>
    <w:rsid w:val="00EC329C"/>
    <w:rsid w:val="00EC5937"/>
    <w:rsid w:val="00ED21D5"/>
    <w:rsid w:val="00ED35CC"/>
    <w:rsid w:val="00EE0F24"/>
    <w:rsid w:val="00EE32F1"/>
    <w:rsid w:val="00EE5FFE"/>
    <w:rsid w:val="00EF2509"/>
    <w:rsid w:val="00EF2E7E"/>
    <w:rsid w:val="00EF5AE9"/>
    <w:rsid w:val="00F03D0A"/>
    <w:rsid w:val="00F05715"/>
    <w:rsid w:val="00F05B80"/>
    <w:rsid w:val="00F10011"/>
    <w:rsid w:val="00F12BF5"/>
    <w:rsid w:val="00F1393E"/>
    <w:rsid w:val="00F13E71"/>
    <w:rsid w:val="00F1541C"/>
    <w:rsid w:val="00F22E4B"/>
    <w:rsid w:val="00F25D72"/>
    <w:rsid w:val="00F27B10"/>
    <w:rsid w:val="00F301BE"/>
    <w:rsid w:val="00F34CE3"/>
    <w:rsid w:val="00F37147"/>
    <w:rsid w:val="00F37C97"/>
    <w:rsid w:val="00F41482"/>
    <w:rsid w:val="00F50646"/>
    <w:rsid w:val="00F52010"/>
    <w:rsid w:val="00F525B4"/>
    <w:rsid w:val="00F62683"/>
    <w:rsid w:val="00F62A61"/>
    <w:rsid w:val="00F630F9"/>
    <w:rsid w:val="00F63613"/>
    <w:rsid w:val="00F649D6"/>
    <w:rsid w:val="00F6645D"/>
    <w:rsid w:val="00F6706D"/>
    <w:rsid w:val="00F710E9"/>
    <w:rsid w:val="00F7133B"/>
    <w:rsid w:val="00F83169"/>
    <w:rsid w:val="00F8622F"/>
    <w:rsid w:val="00F87DAE"/>
    <w:rsid w:val="00F9380E"/>
    <w:rsid w:val="00F96925"/>
    <w:rsid w:val="00FA2D2F"/>
    <w:rsid w:val="00FA6DC2"/>
    <w:rsid w:val="00FB0181"/>
    <w:rsid w:val="00FB0675"/>
    <w:rsid w:val="00FB1FC3"/>
    <w:rsid w:val="00FB5344"/>
    <w:rsid w:val="00FB795E"/>
    <w:rsid w:val="00FC267B"/>
    <w:rsid w:val="00FC2809"/>
    <w:rsid w:val="00FC2B27"/>
    <w:rsid w:val="00FC3356"/>
    <w:rsid w:val="00FC3753"/>
    <w:rsid w:val="00FC3E8B"/>
    <w:rsid w:val="00FD59D4"/>
    <w:rsid w:val="00FD7446"/>
    <w:rsid w:val="00FE037C"/>
    <w:rsid w:val="00FE0EC5"/>
    <w:rsid w:val="00FE43FE"/>
    <w:rsid w:val="00FF1830"/>
    <w:rsid w:val="00FF39CC"/>
    <w:rsid w:val="00FF5BB7"/>
    <w:rsid w:val="00FF6CCA"/>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D1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8F3"/>
    <w:rPr>
      <w:rFonts w:ascii="Times New Roman" w:eastAsia="Times New Roman" w:hAnsi="Times New Roman" w:cs="Times New Roman"/>
    </w:rPr>
  </w:style>
  <w:style w:type="paragraph" w:styleId="Heading1">
    <w:name w:val="heading 1"/>
    <w:basedOn w:val="NormalSectionStart"/>
    <w:next w:val="NormalSectionStart"/>
    <w:link w:val="Heading1Char"/>
    <w:qFormat/>
    <w:rsid w:val="00011322"/>
    <w:pPr>
      <w:keepNext/>
      <w:spacing w:before="200" w:after="60"/>
      <w:jc w:val="center"/>
      <w:outlineLvl w:val="0"/>
    </w:pPr>
    <w:rPr>
      <w:b/>
    </w:rPr>
  </w:style>
  <w:style w:type="paragraph" w:styleId="Heading2">
    <w:name w:val="heading 2"/>
    <w:basedOn w:val="NormalSectionStart"/>
    <w:next w:val="NormalSectionStart"/>
    <w:link w:val="Heading2Char"/>
    <w:qFormat/>
    <w:rsid w:val="00011322"/>
    <w:pPr>
      <w:keepNext/>
      <w:spacing w:before="200" w:after="60"/>
      <w:jc w:val="left"/>
      <w:outlineLvl w:val="1"/>
    </w:pPr>
    <w:rPr>
      <w:b/>
      <w:sz w:val="22"/>
    </w:rPr>
  </w:style>
  <w:style w:type="paragraph" w:styleId="Heading3">
    <w:name w:val="heading 3"/>
    <w:basedOn w:val="NormalSectionStart"/>
    <w:next w:val="Normal"/>
    <w:link w:val="Heading3Char"/>
    <w:qFormat/>
    <w:rsid w:val="0001132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ctionStart">
    <w:name w:val="Normal Section Start"/>
    <w:basedOn w:val="Normal"/>
    <w:next w:val="Normal"/>
    <w:rsid w:val="00011322"/>
    <w:pPr>
      <w:jc w:val="both"/>
    </w:pPr>
  </w:style>
  <w:style w:type="character" w:customStyle="1" w:styleId="Heading1Char">
    <w:name w:val="Heading 1 Char"/>
    <w:basedOn w:val="DefaultParagraphFont"/>
    <w:link w:val="Heading1"/>
    <w:rsid w:val="00011322"/>
    <w:rPr>
      <w:rFonts w:ascii="Times New Roman" w:eastAsia="Times New Roman" w:hAnsi="Times New Roman" w:cs="Times New Roman"/>
      <w:b/>
    </w:rPr>
  </w:style>
  <w:style w:type="character" w:customStyle="1" w:styleId="Heading2Char">
    <w:name w:val="Heading 2 Char"/>
    <w:basedOn w:val="DefaultParagraphFont"/>
    <w:link w:val="Heading2"/>
    <w:rsid w:val="00011322"/>
    <w:rPr>
      <w:rFonts w:ascii="Times New Roman" w:eastAsia="Times New Roman" w:hAnsi="Times New Roman" w:cs="Times New Roman"/>
      <w:b/>
      <w:sz w:val="22"/>
    </w:rPr>
  </w:style>
  <w:style w:type="character" w:customStyle="1" w:styleId="Heading3Char">
    <w:name w:val="Heading 3 Char"/>
    <w:basedOn w:val="DefaultParagraphFont"/>
    <w:link w:val="Heading3"/>
    <w:rsid w:val="00011322"/>
    <w:rPr>
      <w:rFonts w:ascii="Times New Roman" w:eastAsia="Times New Roman" w:hAnsi="Times New Roman" w:cs="Times New Roman"/>
      <w:b/>
    </w:rPr>
  </w:style>
  <w:style w:type="paragraph" w:styleId="ListParagraph">
    <w:name w:val="List Paragraph"/>
    <w:basedOn w:val="Normal"/>
    <w:uiPriority w:val="34"/>
    <w:qFormat/>
    <w:rsid w:val="00011322"/>
    <w:pPr>
      <w:ind w:left="720"/>
      <w:contextualSpacing/>
    </w:pPr>
    <w:rPr>
      <w:rFonts w:eastAsiaTheme="minorEastAsia"/>
    </w:rPr>
  </w:style>
  <w:style w:type="paragraph" w:styleId="DocumentMap">
    <w:name w:val="Document Map"/>
    <w:basedOn w:val="Normal"/>
    <w:link w:val="DocumentMapChar"/>
    <w:uiPriority w:val="99"/>
    <w:semiHidden/>
    <w:unhideWhenUsed/>
    <w:rsid w:val="00011322"/>
  </w:style>
  <w:style w:type="character" w:customStyle="1" w:styleId="DocumentMapChar">
    <w:name w:val="Document Map Char"/>
    <w:basedOn w:val="DefaultParagraphFont"/>
    <w:link w:val="DocumentMap"/>
    <w:uiPriority w:val="99"/>
    <w:semiHidden/>
    <w:rsid w:val="00011322"/>
    <w:rPr>
      <w:rFonts w:ascii="Times New Roman" w:eastAsiaTheme="minorEastAsia" w:hAnsi="Times New Roman" w:cs="Times New Roman"/>
    </w:rPr>
  </w:style>
  <w:style w:type="paragraph" w:styleId="Footer">
    <w:name w:val="footer"/>
    <w:basedOn w:val="Normal"/>
    <w:link w:val="FooterChar"/>
    <w:uiPriority w:val="99"/>
    <w:unhideWhenUsed/>
    <w:rsid w:val="00011322"/>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011322"/>
    <w:rPr>
      <w:rFonts w:ascii="Times New Roman" w:eastAsiaTheme="minorEastAsia" w:hAnsi="Times New Roman" w:cs="Times New Roman"/>
    </w:rPr>
  </w:style>
  <w:style w:type="paragraph" w:styleId="Header">
    <w:name w:val="header"/>
    <w:basedOn w:val="Normal"/>
    <w:link w:val="HeaderChar"/>
    <w:uiPriority w:val="99"/>
    <w:unhideWhenUsed/>
    <w:rsid w:val="00011322"/>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011322"/>
    <w:rPr>
      <w:rFonts w:ascii="Times New Roman" w:eastAsiaTheme="minorEastAsia" w:hAnsi="Times New Roman" w:cs="Times New Roman"/>
    </w:rPr>
  </w:style>
  <w:style w:type="paragraph" w:styleId="BalloonText">
    <w:name w:val="Balloon Text"/>
    <w:basedOn w:val="Normal"/>
    <w:link w:val="BalloonTextChar1"/>
    <w:uiPriority w:val="99"/>
    <w:semiHidden/>
    <w:unhideWhenUsed/>
    <w:rsid w:val="00011322"/>
    <w:pPr>
      <w:ind w:firstLine="181"/>
      <w:jc w:val="both"/>
    </w:pPr>
    <w:rPr>
      <w:rFonts w:ascii="Lucida Grande" w:eastAsia="Times" w:hAnsi="Lucida Grande" w:cs="Lucida Grande"/>
      <w:sz w:val="18"/>
      <w:szCs w:val="18"/>
    </w:rPr>
  </w:style>
  <w:style w:type="character" w:customStyle="1" w:styleId="BalloonTextChar1">
    <w:name w:val="Balloon Text Char1"/>
    <w:basedOn w:val="DefaultParagraphFont"/>
    <w:link w:val="BalloonText"/>
    <w:uiPriority w:val="99"/>
    <w:semiHidden/>
    <w:rsid w:val="00011322"/>
    <w:rPr>
      <w:rFonts w:ascii="Lucida Grande" w:eastAsia="Times" w:hAnsi="Lucida Grande" w:cs="Lucida Grande"/>
      <w:sz w:val="18"/>
      <w:szCs w:val="18"/>
    </w:rPr>
  </w:style>
  <w:style w:type="character" w:customStyle="1" w:styleId="BalloonTextChar">
    <w:name w:val="Balloon Text Char"/>
    <w:basedOn w:val="DefaultParagraphFont"/>
    <w:uiPriority w:val="99"/>
    <w:semiHidden/>
    <w:rsid w:val="00011322"/>
    <w:rPr>
      <w:rFonts w:ascii="Times New Roman" w:eastAsiaTheme="minorEastAsia" w:hAnsi="Times New Roman" w:cs="Times New Roman"/>
      <w:sz w:val="18"/>
      <w:szCs w:val="18"/>
    </w:rPr>
  </w:style>
  <w:style w:type="paragraph" w:customStyle="1" w:styleId="ntranscript">
    <w:name w:val="ntranscript"/>
    <w:basedOn w:val="Normal"/>
    <w:rsid w:val="00011322"/>
    <w:pPr>
      <w:tabs>
        <w:tab w:val="left" w:pos="360"/>
      </w:tabs>
      <w:ind w:left="1440" w:hanging="1440"/>
      <w:jc w:val="both"/>
    </w:pPr>
    <w:rPr>
      <w:rFonts w:ascii="Palatino" w:eastAsia="Times" w:hAnsi="Palatino"/>
    </w:rPr>
  </w:style>
  <w:style w:type="paragraph" w:styleId="FootnoteText">
    <w:name w:val="footnote text"/>
    <w:basedOn w:val="Normal"/>
    <w:link w:val="FootnoteTextChar"/>
    <w:uiPriority w:val="99"/>
    <w:rsid w:val="00011322"/>
    <w:pPr>
      <w:ind w:firstLine="181"/>
      <w:jc w:val="both"/>
    </w:pPr>
    <w:rPr>
      <w:rFonts w:eastAsia="Times"/>
      <w:sz w:val="18"/>
    </w:rPr>
  </w:style>
  <w:style w:type="character" w:customStyle="1" w:styleId="FootnoteTextChar">
    <w:name w:val="Footnote Text Char"/>
    <w:basedOn w:val="DefaultParagraphFont"/>
    <w:link w:val="FootnoteText"/>
    <w:uiPriority w:val="99"/>
    <w:rsid w:val="00011322"/>
    <w:rPr>
      <w:rFonts w:ascii="Times New Roman" w:eastAsia="Times" w:hAnsi="Times New Roman" w:cs="Times New Roman"/>
      <w:sz w:val="18"/>
    </w:rPr>
  </w:style>
  <w:style w:type="character" w:styleId="FootnoteReference">
    <w:name w:val="footnote reference"/>
    <w:basedOn w:val="DefaultParagraphFont"/>
    <w:uiPriority w:val="99"/>
    <w:rsid w:val="00011322"/>
    <w:rPr>
      <w:vertAlign w:val="superscript"/>
    </w:rPr>
  </w:style>
  <w:style w:type="paragraph" w:customStyle="1" w:styleId="Figure">
    <w:name w:val="Figure"/>
    <w:basedOn w:val="NormalSectionStart"/>
    <w:rsid w:val="00011322"/>
    <w:pPr>
      <w:ind w:firstLine="187"/>
      <w:jc w:val="center"/>
    </w:pPr>
  </w:style>
  <w:style w:type="paragraph" w:customStyle="1" w:styleId="NormalHeading3">
    <w:name w:val="Normal Heading 3"/>
    <w:basedOn w:val="NormalSectionStart"/>
    <w:next w:val="Normal"/>
    <w:rsid w:val="00011322"/>
    <w:pPr>
      <w:spacing w:before="240"/>
    </w:pPr>
  </w:style>
  <w:style w:type="paragraph" w:customStyle="1" w:styleId="TableContent">
    <w:name w:val="Table Content"/>
    <w:basedOn w:val="NormalSectionStart"/>
    <w:rsid w:val="00011322"/>
  </w:style>
  <w:style w:type="paragraph" w:customStyle="1" w:styleId="Reference">
    <w:name w:val="Reference"/>
    <w:basedOn w:val="Normal"/>
    <w:rsid w:val="00011322"/>
    <w:pPr>
      <w:ind w:left="181" w:hanging="181"/>
      <w:jc w:val="both"/>
    </w:pPr>
  </w:style>
  <w:style w:type="character" w:styleId="Hyperlink">
    <w:name w:val="Hyperlink"/>
    <w:basedOn w:val="DefaultParagraphFont"/>
    <w:uiPriority w:val="99"/>
    <w:rsid w:val="00011322"/>
    <w:rPr>
      <w:color w:val="0000FF"/>
      <w:u w:val="single"/>
    </w:rPr>
  </w:style>
  <w:style w:type="paragraph" w:customStyle="1" w:styleId="Abstracttext">
    <w:name w:val="Abstract text"/>
    <w:basedOn w:val="NormalSectionStart"/>
    <w:rsid w:val="00011322"/>
    <w:pPr>
      <w:spacing w:line="200" w:lineRule="exact"/>
      <w:ind w:left="181" w:right="181"/>
    </w:pPr>
    <w:rPr>
      <w:sz w:val="18"/>
    </w:rPr>
  </w:style>
  <w:style w:type="paragraph" w:customStyle="1" w:styleId="Abstractheading">
    <w:name w:val="Abstract heading"/>
    <w:basedOn w:val="Heading1"/>
    <w:next w:val="Abstracttext"/>
    <w:rsid w:val="00011322"/>
    <w:pPr>
      <w:spacing w:before="0" w:after="200"/>
    </w:pPr>
    <w:rPr>
      <w:sz w:val="20"/>
    </w:rPr>
  </w:style>
  <w:style w:type="paragraph" w:customStyle="1" w:styleId="Authorname">
    <w:name w:val="Author name"/>
    <w:basedOn w:val="NormalSectionStart"/>
    <w:next w:val="Affiliation"/>
    <w:rsid w:val="00011322"/>
    <w:pPr>
      <w:jc w:val="center"/>
      <w:outlineLvl w:val="0"/>
    </w:pPr>
    <w:rPr>
      <w:b/>
      <w:sz w:val="22"/>
    </w:rPr>
  </w:style>
  <w:style w:type="paragraph" w:customStyle="1" w:styleId="Affiliation">
    <w:name w:val="Affiliation"/>
    <w:basedOn w:val="NormalSectionStart"/>
    <w:rsid w:val="00011322"/>
    <w:pPr>
      <w:jc w:val="center"/>
      <w:outlineLvl w:val="0"/>
    </w:pPr>
  </w:style>
  <w:style w:type="paragraph" w:styleId="Title">
    <w:name w:val="Title"/>
    <w:basedOn w:val="NormalSectionStart"/>
    <w:next w:val="Authorname"/>
    <w:link w:val="TitleChar"/>
    <w:qFormat/>
    <w:rsid w:val="00011322"/>
    <w:pPr>
      <w:jc w:val="center"/>
      <w:outlineLvl w:val="0"/>
    </w:pPr>
    <w:rPr>
      <w:b/>
      <w:kern w:val="28"/>
      <w:sz w:val="28"/>
    </w:rPr>
  </w:style>
  <w:style w:type="character" w:customStyle="1" w:styleId="TitleChar">
    <w:name w:val="Title Char"/>
    <w:basedOn w:val="DefaultParagraphFont"/>
    <w:link w:val="Title"/>
    <w:rsid w:val="00011322"/>
    <w:rPr>
      <w:rFonts w:ascii="Times New Roman" w:eastAsia="Times New Roman" w:hAnsi="Times New Roman" w:cs="Times New Roman"/>
      <w:b/>
      <w:kern w:val="28"/>
      <w:sz w:val="28"/>
    </w:rPr>
  </w:style>
  <w:style w:type="paragraph" w:styleId="Caption">
    <w:name w:val="caption"/>
    <w:basedOn w:val="NormalSectionStart"/>
    <w:next w:val="NormalSectionStart"/>
    <w:uiPriority w:val="35"/>
    <w:qFormat/>
    <w:rsid w:val="00011322"/>
    <w:pPr>
      <w:jc w:val="center"/>
    </w:pPr>
  </w:style>
  <w:style w:type="character" w:customStyle="1" w:styleId="CommentTextChar">
    <w:name w:val="Comment Text Char"/>
    <w:basedOn w:val="DefaultParagraphFont"/>
    <w:link w:val="CommentText"/>
    <w:uiPriority w:val="99"/>
    <w:rsid w:val="00011322"/>
  </w:style>
  <w:style w:type="paragraph" w:styleId="CommentText">
    <w:name w:val="annotation text"/>
    <w:basedOn w:val="Normal"/>
    <w:link w:val="CommentTextChar"/>
    <w:uiPriority w:val="99"/>
    <w:unhideWhenUsed/>
    <w:rsid w:val="00011322"/>
    <w:rPr>
      <w:rFonts w:asciiTheme="minorHAnsi" w:eastAsiaTheme="minorHAnsi" w:hAnsiTheme="minorHAnsi" w:cstheme="minorBidi"/>
    </w:rPr>
  </w:style>
  <w:style w:type="character" w:customStyle="1" w:styleId="CommentTextChar1">
    <w:name w:val="Comment Text Char1"/>
    <w:basedOn w:val="DefaultParagraphFont"/>
    <w:uiPriority w:val="99"/>
    <w:semiHidden/>
    <w:rsid w:val="00011322"/>
    <w:rPr>
      <w:rFonts w:ascii="Times New Roman" w:eastAsiaTheme="minorEastAsia" w:hAnsi="Times New Roman" w:cs="Times New Roman"/>
    </w:rPr>
  </w:style>
  <w:style w:type="character" w:customStyle="1" w:styleId="CommentSubjectChar">
    <w:name w:val="Comment Subject Char"/>
    <w:basedOn w:val="CommentTextChar"/>
    <w:link w:val="CommentSubject"/>
    <w:uiPriority w:val="99"/>
    <w:semiHidden/>
    <w:rsid w:val="00011322"/>
    <w:rPr>
      <w:rFonts w:eastAsia="Times"/>
      <w:b/>
      <w:bCs/>
    </w:rPr>
  </w:style>
  <w:style w:type="paragraph" w:styleId="CommentSubject">
    <w:name w:val="annotation subject"/>
    <w:basedOn w:val="CommentText"/>
    <w:next w:val="CommentText"/>
    <w:link w:val="CommentSubjectChar"/>
    <w:uiPriority w:val="99"/>
    <w:semiHidden/>
    <w:unhideWhenUsed/>
    <w:rsid w:val="00011322"/>
    <w:pPr>
      <w:ind w:firstLine="181"/>
      <w:jc w:val="both"/>
    </w:pPr>
    <w:rPr>
      <w:rFonts w:eastAsia="Times"/>
      <w:b/>
      <w:bCs/>
    </w:rPr>
  </w:style>
  <w:style w:type="character" w:customStyle="1" w:styleId="CommentSubjectChar1">
    <w:name w:val="Comment Subject Char1"/>
    <w:basedOn w:val="CommentTextChar1"/>
    <w:uiPriority w:val="99"/>
    <w:semiHidden/>
    <w:rsid w:val="00011322"/>
    <w:rPr>
      <w:rFonts w:ascii="Times New Roman" w:eastAsiaTheme="minorEastAsia" w:hAnsi="Times New Roman" w:cs="Times New Roman"/>
      <w:b/>
      <w:bCs/>
      <w:sz w:val="20"/>
      <w:szCs w:val="20"/>
    </w:rPr>
  </w:style>
  <w:style w:type="character" w:styleId="Strong">
    <w:name w:val="Strong"/>
    <w:basedOn w:val="DefaultParagraphFont"/>
    <w:uiPriority w:val="22"/>
    <w:qFormat/>
    <w:rsid w:val="00011322"/>
    <w:rPr>
      <w:b/>
      <w:bCs/>
    </w:rPr>
  </w:style>
  <w:style w:type="paragraph" w:styleId="NormalWeb">
    <w:name w:val="Normal (Web)"/>
    <w:basedOn w:val="Normal"/>
    <w:uiPriority w:val="99"/>
    <w:unhideWhenUsed/>
    <w:rsid w:val="00011322"/>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11322"/>
  </w:style>
  <w:style w:type="table" w:styleId="TableGrid">
    <w:name w:val="Table Grid"/>
    <w:basedOn w:val="TableNormal"/>
    <w:uiPriority w:val="59"/>
    <w:rsid w:val="00011322"/>
    <w:rPr>
      <w:rFonts w:ascii="Times New Roman" w:eastAsiaTheme="minorEastAsia"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042"/>
    <w:rPr>
      <w:sz w:val="16"/>
      <w:szCs w:val="16"/>
    </w:rPr>
  </w:style>
  <w:style w:type="paragraph" w:styleId="Revision">
    <w:name w:val="Revision"/>
    <w:hidden/>
    <w:uiPriority w:val="99"/>
    <w:semiHidden/>
    <w:rsid w:val="00A95573"/>
    <w:rPr>
      <w:rFonts w:ascii="Times New Roman" w:eastAsiaTheme="minorEastAsia" w:hAnsi="Times New Roman" w:cs="Times New Roman"/>
    </w:rPr>
  </w:style>
  <w:style w:type="character" w:styleId="PageNumber">
    <w:name w:val="page number"/>
    <w:basedOn w:val="DefaultParagraphFont"/>
    <w:uiPriority w:val="99"/>
    <w:semiHidden/>
    <w:unhideWhenUsed/>
    <w:rsid w:val="0003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4813">
      <w:bodyDiv w:val="1"/>
      <w:marLeft w:val="0"/>
      <w:marRight w:val="0"/>
      <w:marTop w:val="0"/>
      <w:marBottom w:val="0"/>
      <w:divBdr>
        <w:top w:val="none" w:sz="0" w:space="0" w:color="auto"/>
        <w:left w:val="none" w:sz="0" w:space="0" w:color="auto"/>
        <w:bottom w:val="none" w:sz="0" w:space="0" w:color="auto"/>
        <w:right w:val="none" w:sz="0" w:space="0" w:color="auto"/>
      </w:divBdr>
    </w:div>
    <w:div w:id="276837658">
      <w:bodyDiv w:val="1"/>
      <w:marLeft w:val="0"/>
      <w:marRight w:val="0"/>
      <w:marTop w:val="0"/>
      <w:marBottom w:val="0"/>
      <w:divBdr>
        <w:top w:val="none" w:sz="0" w:space="0" w:color="auto"/>
        <w:left w:val="none" w:sz="0" w:space="0" w:color="auto"/>
        <w:bottom w:val="none" w:sz="0" w:space="0" w:color="auto"/>
        <w:right w:val="none" w:sz="0" w:space="0" w:color="auto"/>
      </w:divBdr>
    </w:div>
    <w:div w:id="352272801">
      <w:bodyDiv w:val="1"/>
      <w:marLeft w:val="0"/>
      <w:marRight w:val="0"/>
      <w:marTop w:val="0"/>
      <w:marBottom w:val="0"/>
      <w:divBdr>
        <w:top w:val="none" w:sz="0" w:space="0" w:color="auto"/>
        <w:left w:val="none" w:sz="0" w:space="0" w:color="auto"/>
        <w:bottom w:val="none" w:sz="0" w:space="0" w:color="auto"/>
        <w:right w:val="none" w:sz="0" w:space="0" w:color="auto"/>
      </w:divBdr>
    </w:div>
    <w:div w:id="427044487">
      <w:bodyDiv w:val="1"/>
      <w:marLeft w:val="0"/>
      <w:marRight w:val="0"/>
      <w:marTop w:val="0"/>
      <w:marBottom w:val="0"/>
      <w:divBdr>
        <w:top w:val="none" w:sz="0" w:space="0" w:color="auto"/>
        <w:left w:val="none" w:sz="0" w:space="0" w:color="auto"/>
        <w:bottom w:val="none" w:sz="0" w:space="0" w:color="auto"/>
        <w:right w:val="none" w:sz="0" w:space="0" w:color="auto"/>
      </w:divBdr>
    </w:div>
    <w:div w:id="439490537">
      <w:bodyDiv w:val="1"/>
      <w:marLeft w:val="0"/>
      <w:marRight w:val="0"/>
      <w:marTop w:val="0"/>
      <w:marBottom w:val="0"/>
      <w:divBdr>
        <w:top w:val="none" w:sz="0" w:space="0" w:color="auto"/>
        <w:left w:val="none" w:sz="0" w:space="0" w:color="auto"/>
        <w:bottom w:val="none" w:sz="0" w:space="0" w:color="auto"/>
        <w:right w:val="none" w:sz="0" w:space="0" w:color="auto"/>
      </w:divBdr>
    </w:div>
    <w:div w:id="494346090">
      <w:bodyDiv w:val="1"/>
      <w:marLeft w:val="0"/>
      <w:marRight w:val="0"/>
      <w:marTop w:val="0"/>
      <w:marBottom w:val="0"/>
      <w:divBdr>
        <w:top w:val="none" w:sz="0" w:space="0" w:color="auto"/>
        <w:left w:val="none" w:sz="0" w:space="0" w:color="auto"/>
        <w:bottom w:val="none" w:sz="0" w:space="0" w:color="auto"/>
        <w:right w:val="none" w:sz="0" w:space="0" w:color="auto"/>
      </w:divBdr>
    </w:div>
    <w:div w:id="736590146">
      <w:bodyDiv w:val="1"/>
      <w:marLeft w:val="0"/>
      <w:marRight w:val="0"/>
      <w:marTop w:val="0"/>
      <w:marBottom w:val="0"/>
      <w:divBdr>
        <w:top w:val="none" w:sz="0" w:space="0" w:color="auto"/>
        <w:left w:val="none" w:sz="0" w:space="0" w:color="auto"/>
        <w:bottom w:val="none" w:sz="0" w:space="0" w:color="auto"/>
        <w:right w:val="none" w:sz="0" w:space="0" w:color="auto"/>
      </w:divBdr>
    </w:div>
    <w:div w:id="778136083">
      <w:bodyDiv w:val="1"/>
      <w:marLeft w:val="0"/>
      <w:marRight w:val="0"/>
      <w:marTop w:val="0"/>
      <w:marBottom w:val="0"/>
      <w:divBdr>
        <w:top w:val="none" w:sz="0" w:space="0" w:color="auto"/>
        <w:left w:val="none" w:sz="0" w:space="0" w:color="auto"/>
        <w:bottom w:val="none" w:sz="0" w:space="0" w:color="auto"/>
        <w:right w:val="none" w:sz="0" w:space="0" w:color="auto"/>
      </w:divBdr>
    </w:div>
    <w:div w:id="782916070">
      <w:bodyDiv w:val="1"/>
      <w:marLeft w:val="0"/>
      <w:marRight w:val="0"/>
      <w:marTop w:val="0"/>
      <w:marBottom w:val="0"/>
      <w:divBdr>
        <w:top w:val="none" w:sz="0" w:space="0" w:color="auto"/>
        <w:left w:val="none" w:sz="0" w:space="0" w:color="auto"/>
        <w:bottom w:val="none" w:sz="0" w:space="0" w:color="auto"/>
        <w:right w:val="none" w:sz="0" w:space="0" w:color="auto"/>
      </w:divBdr>
    </w:div>
    <w:div w:id="865096618">
      <w:bodyDiv w:val="1"/>
      <w:marLeft w:val="0"/>
      <w:marRight w:val="0"/>
      <w:marTop w:val="0"/>
      <w:marBottom w:val="0"/>
      <w:divBdr>
        <w:top w:val="none" w:sz="0" w:space="0" w:color="auto"/>
        <w:left w:val="none" w:sz="0" w:space="0" w:color="auto"/>
        <w:bottom w:val="none" w:sz="0" w:space="0" w:color="auto"/>
        <w:right w:val="none" w:sz="0" w:space="0" w:color="auto"/>
      </w:divBdr>
    </w:div>
    <w:div w:id="945816767">
      <w:bodyDiv w:val="1"/>
      <w:marLeft w:val="0"/>
      <w:marRight w:val="0"/>
      <w:marTop w:val="0"/>
      <w:marBottom w:val="0"/>
      <w:divBdr>
        <w:top w:val="none" w:sz="0" w:space="0" w:color="auto"/>
        <w:left w:val="none" w:sz="0" w:space="0" w:color="auto"/>
        <w:bottom w:val="none" w:sz="0" w:space="0" w:color="auto"/>
        <w:right w:val="none" w:sz="0" w:space="0" w:color="auto"/>
      </w:divBdr>
    </w:div>
    <w:div w:id="999771254">
      <w:bodyDiv w:val="1"/>
      <w:marLeft w:val="0"/>
      <w:marRight w:val="0"/>
      <w:marTop w:val="0"/>
      <w:marBottom w:val="0"/>
      <w:divBdr>
        <w:top w:val="none" w:sz="0" w:space="0" w:color="auto"/>
        <w:left w:val="none" w:sz="0" w:space="0" w:color="auto"/>
        <w:bottom w:val="none" w:sz="0" w:space="0" w:color="auto"/>
        <w:right w:val="none" w:sz="0" w:space="0" w:color="auto"/>
      </w:divBdr>
    </w:div>
    <w:div w:id="1147161157">
      <w:bodyDiv w:val="1"/>
      <w:marLeft w:val="0"/>
      <w:marRight w:val="0"/>
      <w:marTop w:val="0"/>
      <w:marBottom w:val="0"/>
      <w:divBdr>
        <w:top w:val="none" w:sz="0" w:space="0" w:color="auto"/>
        <w:left w:val="none" w:sz="0" w:space="0" w:color="auto"/>
        <w:bottom w:val="none" w:sz="0" w:space="0" w:color="auto"/>
        <w:right w:val="none" w:sz="0" w:space="0" w:color="auto"/>
      </w:divBdr>
    </w:div>
    <w:div w:id="1326207770">
      <w:bodyDiv w:val="1"/>
      <w:marLeft w:val="0"/>
      <w:marRight w:val="0"/>
      <w:marTop w:val="0"/>
      <w:marBottom w:val="0"/>
      <w:divBdr>
        <w:top w:val="none" w:sz="0" w:space="0" w:color="auto"/>
        <w:left w:val="none" w:sz="0" w:space="0" w:color="auto"/>
        <w:bottom w:val="none" w:sz="0" w:space="0" w:color="auto"/>
        <w:right w:val="none" w:sz="0" w:space="0" w:color="auto"/>
      </w:divBdr>
    </w:div>
    <w:div w:id="1339386392">
      <w:bodyDiv w:val="1"/>
      <w:marLeft w:val="0"/>
      <w:marRight w:val="0"/>
      <w:marTop w:val="0"/>
      <w:marBottom w:val="0"/>
      <w:divBdr>
        <w:top w:val="none" w:sz="0" w:space="0" w:color="auto"/>
        <w:left w:val="none" w:sz="0" w:space="0" w:color="auto"/>
        <w:bottom w:val="none" w:sz="0" w:space="0" w:color="auto"/>
        <w:right w:val="none" w:sz="0" w:space="0" w:color="auto"/>
      </w:divBdr>
    </w:div>
    <w:div w:id="1647708517">
      <w:bodyDiv w:val="1"/>
      <w:marLeft w:val="0"/>
      <w:marRight w:val="0"/>
      <w:marTop w:val="0"/>
      <w:marBottom w:val="0"/>
      <w:divBdr>
        <w:top w:val="none" w:sz="0" w:space="0" w:color="auto"/>
        <w:left w:val="none" w:sz="0" w:space="0" w:color="auto"/>
        <w:bottom w:val="none" w:sz="0" w:space="0" w:color="auto"/>
        <w:right w:val="none" w:sz="0" w:space="0" w:color="auto"/>
      </w:divBdr>
    </w:div>
    <w:div w:id="1718385107">
      <w:bodyDiv w:val="1"/>
      <w:marLeft w:val="0"/>
      <w:marRight w:val="0"/>
      <w:marTop w:val="0"/>
      <w:marBottom w:val="0"/>
      <w:divBdr>
        <w:top w:val="none" w:sz="0" w:space="0" w:color="auto"/>
        <w:left w:val="none" w:sz="0" w:space="0" w:color="auto"/>
        <w:bottom w:val="none" w:sz="0" w:space="0" w:color="auto"/>
        <w:right w:val="none" w:sz="0" w:space="0" w:color="auto"/>
      </w:divBdr>
    </w:div>
    <w:div w:id="1825537376">
      <w:bodyDiv w:val="1"/>
      <w:marLeft w:val="0"/>
      <w:marRight w:val="0"/>
      <w:marTop w:val="0"/>
      <w:marBottom w:val="0"/>
      <w:divBdr>
        <w:top w:val="none" w:sz="0" w:space="0" w:color="auto"/>
        <w:left w:val="none" w:sz="0" w:space="0" w:color="auto"/>
        <w:bottom w:val="none" w:sz="0" w:space="0" w:color="auto"/>
        <w:right w:val="none" w:sz="0" w:space="0" w:color="auto"/>
      </w:divBdr>
    </w:div>
    <w:div w:id="2037196915">
      <w:bodyDiv w:val="1"/>
      <w:marLeft w:val="0"/>
      <w:marRight w:val="0"/>
      <w:marTop w:val="0"/>
      <w:marBottom w:val="0"/>
      <w:divBdr>
        <w:top w:val="none" w:sz="0" w:space="0" w:color="auto"/>
        <w:left w:val="none" w:sz="0" w:space="0" w:color="auto"/>
        <w:bottom w:val="none" w:sz="0" w:space="0" w:color="auto"/>
        <w:right w:val="none" w:sz="0" w:space="0" w:color="auto"/>
      </w:divBdr>
    </w:div>
    <w:div w:id="2050837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gbjohnson/Dropbox/Manuscripts/0%20JEPG%20Zero-Sum/Data/Zero-Sum%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gbjohnson/Dropbox/Manuscripts/0%20JEPG%20Zero-Sum/Data/Zero-Sum%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gbjohnson/Dropbox/Manuscripts/0%20JEPG%20Zero-Sum/Data/Zero-Sum%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sgbjohnson/Dropbox/Manuscripts/0%20JEPG%20Zero-Sum/Data/Zero-Sum%20Fig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sgbjohnson/Dropbox/Manuscripts/0%20JEPG%20Zero-Sum/Data/Zero-Sum%20Figur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'Figure S1'!$C$2</c:f>
              <c:strCache>
                <c:ptCount val="1"/>
                <c:pt idx="0">
                  <c:v>Negative</c:v>
                </c:pt>
              </c:strCache>
            </c:strRef>
          </c:tx>
          <c:spPr>
            <a:solidFill>
              <a:schemeClr val="tx1"/>
            </a:solidFill>
            <a:ln>
              <a:solidFill>
                <a:schemeClr val="tx1"/>
              </a:solidFill>
            </a:ln>
            <a:effectLst/>
          </c:spPr>
          <c:invertIfNegative val="0"/>
          <c:cat>
            <c:multiLvlStrRef>
              <c:f>'Figure S1'!$A$3:$B$7</c:f>
              <c:multiLvlStrCache>
                <c:ptCount val="5"/>
                <c:lvl>
                  <c:pt idx="0">
                    <c:v>Goods</c:v>
                  </c:pt>
                  <c:pt idx="1">
                    <c:v>Services</c:v>
                  </c:pt>
                  <c:pt idx="2">
                    <c:v>Goods</c:v>
                  </c:pt>
                  <c:pt idx="3">
                    <c:v>Services</c:v>
                  </c:pt>
                </c:lvl>
                <c:lvl>
                  <c:pt idx="0">
                    <c:v>Buyers</c:v>
                  </c:pt>
                  <c:pt idx="2">
                    <c:v>Sellers</c:v>
                  </c:pt>
                  <c:pt idx="4">
                    <c:v>Traders</c:v>
                  </c:pt>
                </c:lvl>
              </c:multiLvlStrCache>
            </c:multiLvlStrRef>
          </c:cat>
          <c:val>
            <c:numRef>
              <c:f>'Figure S1'!$C$3:$C$7</c:f>
              <c:numCache>
                <c:formatCode>General</c:formatCode>
                <c:ptCount val="5"/>
                <c:pt idx="0">
                  <c:v>0.83499999999999996</c:v>
                </c:pt>
                <c:pt idx="1">
                  <c:v>0.37647000000000003</c:v>
                </c:pt>
                <c:pt idx="2">
                  <c:v>0.21</c:v>
                </c:pt>
                <c:pt idx="3">
                  <c:v>0.14099999999999999</c:v>
                </c:pt>
                <c:pt idx="4">
                  <c:v>1.1759999999999999</c:v>
                </c:pt>
              </c:numCache>
            </c:numRef>
          </c:val>
          <c:extLst>
            <c:ext xmlns:c16="http://schemas.microsoft.com/office/drawing/2014/chart" uri="{C3380CC4-5D6E-409C-BE32-E72D297353CC}">
              <c16:uniqueId val="{00000000-6274-D242-8709-F632BD0190B7}"/>
            </c:ext>
          </c:extLst>
        </c:ser>
        <c:ser>
          <c:idx val="1"/>
          <c:order val="1"/>
          <c:tx>
            <c:strRef>
              <c:f>'Figure S1'!$D$2</c:f>
              <c:strCache>
                <c:ptCount val="1"/>
                <c:pt idx="0">
                  <c:v>Zero</c:v>
                </c:pt>
              </c:strCache>
            </c:strRef>
          </c:tx>
          <c:spPr>
            <a:solidFill>
              <a:schemeClr val="bg1">
                <a:lumMod val="50000"/>
              </a:schemeClr>
            </a:solidFill>
            <a:ln>
              <a:solidFill>
                <a:schemeClr val="tx1"/>
              </a:solidFill>
            </a:ln>
            <a:effectLst/>
          </c:spPr>
          <c:invertIfNegative val="0"/>
          <c:cat>
            <c:multiLvlStrRef>
              <c:f>'Figure S1'!$A$3:$B$7</c:f>
              <c:multiLvlStrCache>
                <c:ptCount val="5"/>
                <c:lvl>
                  <c:pt idx="0">
                    <c:v>Goods</c:v>
                  </c:pt>
                  <c:pt idx="1">
                    <c:v>Services</c:v>
                  </c:pt>
                  <c:pt idx="2">
                    <c:v>Goods</c:v>
                  </c:pt>
                  <c:pt idx="3">
                    <c:v>Services</c:v>
                  </c:pt>
                </c:lvl>
                <c:lvl>
                  <c:pt idx="0">
                    <c:v>Buyers</c:v>
                  </c:pt>
                  <c:pt idx="2">
                    <c:v>Sellers</c:v>
                  </c:pt>
                  <c:pt idx="4">
                    <c:v>Traders</c:v>
                  </c:pt>
                </c:lvl>
              </c:multiLvlStrCache>
            </c:multiLvlStrRef>
          </c:cat>
          <c:val>
            <c:numRef>
              <c:f>'Figure S1'!$D$3:$D$7</c:f>
              <c:numCache>
                <c:formatCode>General</c:formatCode>
                <c:ptCount val="5"/>
                <c:pt idx="0">
                  <c:v>0.106</c:v>
                </c:pt>
                <c:pt idx="1">
                  <c:v>8.2350000000000007E-2</c:v>
                </c:pt>
                <c:pt idx="2">
                  <c:v>7.0000000000000007E-2</c:v>
                </c:pt>
                <c:pt idx="3">
                  <c:v>9.4E-2</c:v>
                </c:pt>
                <c:pt idx="4">
                  <c:v>1.3180000000000001</c:v>
                </c:pt>
              </c:numCache>
            </c:numRef>
          </c:val>
          <c:extLst>
            <c:ext xmlns:c16="http://schemas.microsoft.com/office/drawing/2014/chart" uri="{C3380CC4-5D6E-409C-BE32-E72D297353CC}">
              <c16:uniqueId val="{00000001-6274-D242-8709-F632BD0190B7}"/>
            </c:ext>
          </c:extLst>
        </c:ser>
        <c:ser>
          <c:idx val="2"/>
          <c:order val="2"/>
          <c:tx>
            <c:strRef>
              <c:f>'Figure S1'!$E$2</c:f>
              <c:strCache>
                <c:ptCount val="1"/>
                <c:pt idx="0">
                  <c:v>Positive</c:v>
                </c:pt>
              </c:strCache>
            </c:strRef>
          </c:tx>
          <c:spPr>
            <a:solidFill>
              <a:schemeClr val="bg1"/>
            </a:solidFill>
            <a:ln>
              <a:solidFill>
                <a:schemeClr val="tx1"/>
              </a:solidFill>
            </a:ln>
            <a:effectLst/>
          </c:spPr>
          <c:invertIfNegative val="0"/>
          <c:cat>
            <c:multiLvlStrRef>
              <c:f>'Figure S1'!$A$3:$B$7</c:f>
              <c:multiLvlStrCache>
                <c:ptCount val="5"/>
                <c:lvl>
                  <c:pt idx="0">
                    <c:v>Goods</c:v>
                  </c:pt>
                  <c:pt idx="1">
                    <c:v>Services</c:v>
                  </c:pt>
                  <c:pt idx="2">
                    <c:v>Goods</c:v>
                  </c:pt>
                  <c:pt idx="3">
                    <c:v>Services</c:v>
                  </c:pt>
                </c:lvl>
                <c:lvl>
                  <c:pt idx="0">
                    <c:v>Buyers</c:v>
                  </c:pt>
                  <c:pt idx="2">
                    <c:v>Sellers</c:v>
                  </c:pt>
                  <c:pt idx="4">
                    <c:v>Traders</c:v>
                  </c:pt>
                </c:lvl>
              </c:multiLvlStrCache>
            </c:multiLvlStrRef>
          </c:cat>
          <c:val>
            <c:numRef>
              <c:f>'Figure S1'!$E$3:$E$7</c:f>
              <c:numCache>
                <c:formatCode>General</c:formatCode>
                <c:ptCount val="5"/>
                <c:pt idx="0">
                  <c:v>3.0590000000000002</c:v>
                </c:pt>
                <c:pt idx="1">
                  <c:v>3.5411800000000002</c:v>
                </c:pt>
                <c:pt idx="2">
                  <c:v>3.72</c:v>
                </c:pt>
                <c:pt idx="3">
                  <c:v>3.7650000000000001</c:v>
                </c:pt>
                <c:pt idx="4">
                  <c:v>5.5060000000000002</c:v>
                </c:pt>
              </c:numCache>
            </c:numRef>
          </c:val>
          <c:extLst>
            <c:ext xmlns:c16="http://schemas.microsoft.com/office/drawing/2014/chart" uri="{C3380CC4-5D6E-409C-BE32-E72D297353CC}">
              <c16:uniqueId val="{00000002-6274-D242-8709-F632BD0190B7}"/>
            </c:ext>
          </c:extLst>
        </c:ser>
        <c:dLbls>
          <c:showLegendKey val="0"/>
          <c:showVal val="0"/>
          <c:showCatName val="0"/>
          <c:showSerName val="0"/>
          <c:showPercent val="0"/>
          <c:showBubbleSize val="0"/>
        </c:dLbls>
        <c:gapWidth val="75"/>
        <c:overlap val="100"/>
        <c:axId val="1079170960"/>
        <c:axId val="1081420096"/>
      </c:barChart>
      <c:catAx>
        <c:axId val="10791709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081420096"/>
        <c:crosses val="autoZero"/>
        <c:auto val="1"/>
        <c:lblAlgn val="ctr"/>
        <c:lblOffset val="100"/>
        <c:noMultiLvlLbl val="0"/>
      </c:catAx>
      <c:valAx>
        <c:axId val="108142009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07917096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charset="0"/>
          <a:ea typeface="Arial" charset="0"/>
          <a:cs typeface="Arial"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'Figure S2'!$C$2</c:f>
              <c:strCache>
                <c:ptCount val="1"/>
                <c:pt idx="0">
                  <c:v>Negative</c:v>
                </c:pt>
              </c:strCache>
            </c:strRef>
          </c:tx>
          <c:spPr>
            <a:solidFill>
              <a:schemeClr val="tx1"/>
            </a:solidFill>
            <a:ln>
              <a:solidFill>
                <a:schemeClr val="tx1"/>
              </a:solidFill>
            </a:ln>
            <a:effectLst/>
          </c:spPr>
          <c:invertIfNegative val="0"/>
          <c:cat>
            <c:multiLvlStrRef>
              <c:f>'Figure S2'!$A$3:$B$11</c:f>
              <c:multiLvlStrCache>
                <c:ptCount val="9"/>
                <c:lvl>
                  <c:pt idx="0">
                    <c:v>Money</c:v>
                  </c:pt>
                  <c:pt idx="1">
                    <c:v>Time</c:v>
                  </c:pt>
                  <c:pt idx="2">
                    <c:v>Money + Time</c:v>
                  </c:pt>
                  <c:pt idx="3">
                    <c:v>Money</c:v>
                  </c:pt>
                  <c:pt idx="4">
                    <c:v>Time</c:v>
                  </c:pt>
                  <c:pt idx="5">
                    <c:v>Money + Time</c:v>
                  </c:pt>
                  <c:pt idx="6">
                    <c:v>Money</c:v>
                  </c:pt>
                  <c:pt idx="7">
                    <c:v>Time</c:v>
                  </c:pt>
                  <c:pt idx="8">
                    <c:v>Money + Time</c:v>
                  </c:pt>
                </c:lvl>
                <c:lvl>
                  <c:pt idx="0">
                    <c:v>Buyers</c:v>
                  </c:pt>
                  <c:pt idx="3">
                    <c:v>Sellers</c:v>
                  </c:pt>
                  <c:pt idx="6">
                    <c:v>Traders</c:v>
                  </c:pt>
                </c:lvl>
              </c:multiLvlStrCache>
            </c:multiLvlStrRef>
          </c:cat>
          <c:val>
            <c:numRef>
              <c:f>'Figure S2'!$C$3:$C$11</c:f>
              <c:numCache>
                <c:formatCode>General</c:formatCode>
                <c:ptCount val="9"/>
                <c:pt idx="0">
                  <c:v>2.5350000000000001</c:v>
                </c:pt>
                <c:pt idx="1">
                  <c:v>1.98</c:v>
                </c:pt>
                <c:pt idx="2">
                  <c:v>2.54</c:v>
                </c:pt>
                <c:pt idx="3">
                  <c:v>0.49</c:v>
                </c:pt>
                <c:pt idx="4">
                  <c:v>0.64</c:v>
                </c:pt>
                <c:pt idx="5">
                  <c:v>0.47</c:v>
                </c:pt>
                <c:pt idx="6">
                  <c:v>1.1499999999999999</c:v>
                </c:pt>
                <c:pt idx="7">
                  <c:v>1.02</c:v>
                </c:pt>
                <c:pt idx="8">
                  <c:v>1</c:v>
                </c:pt>
              </c:numCache>
            </c:numRef>
          </c:val>
          <c:extLst>
            <c:ext xmlns:c16="http://schemas.microsoft.com/office/drawing/2014/chart" uri="{C3380CC4-5D6E-409C-BE32-E72D297353CC}">
              <c16:uniqueId val="{00000000-2FEF-E643-B542-07CD72EEC32B}"/>
            </c:ext>
          </c:extLst>
        </c:ser>
        <c:ser>
          <c:idx val="1"/>
          <c:order val="1"/>
          <c:tx>
            <c:strRef>
              <c:f>'Figure S2'!$D$2</c:f>
              <c:strCache>
                <c:ptCount val="1"/>
                <c:pt idx="0">
                  <c:v>Zero</c:v>
                </c:pt>
              </c:strCache>
            </c:strRef>
          </c:tx>
          <c:spPr>
            <a:solidFill>
              <a:schemeClr val="bg1">
                <a:lumMod val="50000"/>
              </a:schemeClr>
            </a:solidFill>
            <a:ln>
              <a:solidFill>
                <a:schemeClr val="tx1"/>
              </a:solidFill>
            </a:ln>
            <a:effectLst/>
          </c:spPr>
          <c:invertIfNegative val="0"/>
          <c:cat>
            <c:multiLvlStrRef>
              <c:f>'Figure S2'!$A$3:$B$11</c:f>
              <c:multiLvlStrCache>
                <c:ptCount val="9"/>
                <c:lvl>
                  <c:pt idx="0">
                    <c:v>Money</c:v>
                  </c:pt>
                  <c:pt idx="1">
                    <c:v>Time</c:v>
                  </c:pt>
                  <c:pt idx="2">
                    <c:v>Money + Time</c:v>
                  </c:pt>
                  <c:pt idx="3">
                    <c:v>Money</c:v>
                  </c:pt>
                  <c:pt idx="4">
                    <c:v>Time</c:v>
                  </c:pt>
                  <c:pt idx="5">
                    <c:v>Money + Time</c:v>
                  </c:pt>
                  <c:pt idx="6">
                    <c:v>Money</c:v>
                  </c:pt>
                  <c:pt idx="7">
                    <c:v>Time</c:v>
                  </c:pt>
                  <c:pt idx="8">
                    <c:v>Money + Time</c:v>
                  </c:pt>
                </c:lvl>
                <c:lvl>
                  <c:pt idx="0">
                    <c:v>Buyers</c:v>
                  </c:pt>
                  <c:pt idx="3">
                    <c:v>Sellers</c:v>
                  </c:pt>
                  <c:pt idx="6">
                    <c:v>Traders</c:v>
                  </c:pt>
                </c:lvl>
              </c:multiLvlStrCache>
            </c:multiLvlStrRef>
          </c:cat>
          <c:val>
            <c:numRef>
              <c:f>'Figure S2'!$D$3:$D$11</c:f>
              <c:numCache>
                <c:formatCode>General</c:formatCode>
                <c:ptCount val="9"/>
                <c:pt idx="0">
                  <c:v>0.58099999999999996</c:v>
                </c:pt>
                <c:pt idx="1">
                  <c:v>0.48</c:v>
                </c:pt>
                <c:pt idx="2">
                  <c:v>0.69</c:v>
                </c:pt>
                <c:pt idx="3">
                  <c:v>0.44</c:v>
                </c:pt>
                <c:pt idx="4">
                  <c:v>0.51</c:v>
                </c:pt>
                <c:pt idx="5">
                  <c:v>0.54</c:v>
                </c:pt>
                <c:pt idx="6">
                  <c:v>3.29</c:v>
                </c:pt>
                <c:pt idx="7">
                  <c:v>2</c:v>
                </c:pt>
                <c:pt idx="8">
                  <c:v>3.43</c:v>
                </c:pt>
              </c:numCache>
            </c:numRef>
          </c:val>
          <c:extLst>
            <c:ext xmlns:c16="http://schemas.microsoft.com/office/drawing/2014/chart" uri="{C3380CC4-5D6E-409C-BE32-E72D297353CC}">
              <c16:uniqueId val="{00000001-2FEF-E643-B542-07CD72EEC32B}"/>
            </c:ext>
          </c:extLst>
        </c:ser>
        <c:ser>
          <c:idx val="2"/>
          <c:order val="2"/>
          <c:tx>
            <c:strRef>
              <c:f>'Figure S2'!$E$2</c:f>
              <c:strCache>
                <c:ptCount val="1"/>
                <c:pt idx="0">
                  <c:v>Positive</c:v>
                </c:pt>
              </c:strCache>
            </c:strRef>
          </c:tx>
          <c:spPr>
            <a:solidFill>
              <a:schemeClr val="bg1"/>
            </a:solidFill>
            <a:ln>
              <a:solidFill>
                <a:schemeClr val="tx1"/>
              </a:solidFill>
            </a:ln>
            <a:effectLst/>
          </c:spPr>
          <c:invertIfNegative val="0"/>
          <c:cat>
            <c:multiLvlStrRef>
              <c:f>'Figure S2'!$A$3:$B$11</c:f>
              <c:multiLvlStrCache>
                <c:ptCount val="9"/>
                <c:lvl>
                  <c:pt idx="0">
                    <c:v>Money</c:v>
                  </c:pt>
                  <c:pt idx="1">
                    <c:v>Time</c:v>
                  </c:pt>
                  <c:pt idx="2">
                    <c:v>Money + Time</c:v>
                  </c:pt>
                  <c:pt idx="3">
                    <c:v>Money</c:v>
                  </c:pt>
                  <c:pt idx="4">
                    <c:v>Time</c:v>
                  </c:pt>
                  <c:pt idx="5">
                    <c:v>Money + Time</c:v>
                  </c:pt>
                  <c:pt idx="6">
                    <c:v>Money</c:v>
                  </c:pt>
                  <c:pt idx="7">
                    <c:v>Time</c:v>
                  </c:pt>
                  <c:pt idx="8">
                    <c:v>Money + Time</c:v>
                  </c:pt>
                </c:lvl>
                <c:lvl>
                  <c:pt idx="0">
                    <c:v>Buyers</c:v>
                  </c:pt>
                  <c:pt idx="3">
                    <c:v>Sellers</c:v>
                  </c:pt>
                  <c:pt idx="6">
                    <c:v>Traders</c:v>
                  </c:pt>
                </c:lvl>
              </c:multiLvlStrCache>
            </c:multiLvlStrRef>
          </c:cat>
          <c:val>
            <c:numRef>
              <c:f>'Figure S2'!$E$3:$E$11</c:f>
              <c:numCache>
                <c:formatCode>General</c:formatCode>
                <c:ptCount val="9"/>
                <c:pt idx="0">
                  <c:v>4.8839999999999986</c:v>
                </c:pt>
                <c:pt idx="1">
                  <c:v>5.54</c:v>
                </c:pt>
                <c:pt idx="2">
                  <c:v>4.7699999999999987</c:v>
                </c:pt>
                <c:pt idx="3">
                  <c:v>7.07</c:v>
                </c:pt>
                <c:pt idx="4">
                  <c:v>6.85</c:v>
                </c:pt>
                <c:pt idx="5">
                  <c:v>6.99</c:v>
                </c:pt>
                <c:pt idx="6">
                  <c:v>3.56</c:v>
                </c:pt>
                <c:pt idx="7">
                  <c:v>4.9800000000000004</c:v>
                </c:pt>
                <c:pt idx="8">
                  <c:v>3.57</c:v>
                </c:pt>
              </c:numCache>
            </c:numRef>
          </c:val>
          <c:extLst>
            <c:ext xmlns:c16="http://schemas.microsoft.com/office/drawing/2014/chart" uri="{C3380CC4-5D6E-409C-BE32-E72D297353CC}">
              <c16:uniqueId val="{00000002-2FEF-E643-B542-07CD72EEC32B}"/>
            </c:ext>
          </c:extLst>
        </c:ser>
        <c:dLbls>
          <c:showLegendKey val="0"/>
          <c:showVal val="0"/>
          <c:showCatName val="0"/>
          <c:showSerName val="0"/>
          <c:showPercent val="0"/>
          <c:showBubbleSize val="0"/>
        </c:dLbls>
        <c:gapWidth val="75"/>
        <c:overlap val="100"/>
        <c:axId val="1174570880"/>
        <c:axId val="1139935952"/>
      </c:barChart>
      <c:catAx>
        <c:axId val="1174570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139935952"/>
        <c:crosses val="autoZero"/>
        <c:auto val="1"/>
        <c:lblAlgn val="ctr"/>
        <c:lblOffset val="100"/>
        <c:noMultiLvlLbl val="0"/>
      </c:catAx>
      <c:valAx>
        <c:axId val="11399359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17457088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charset="0"/>
          <a:ea typeface="Arial" charset="0"/>
          <a:cs typeface="Arial"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'Figure S3'!$C$2</c:f>
              <c:strCache>
                <c:ptCount val="1"/>
                <c:pt idx="0">
                  <c:v>Negative</c:v>
                </c:pt>
              </c:strCache>
            </c:strRef>
          </c:tx>
          <c:spPr>
            <a:solidFill>
              <a:schemeClr val="tx1"/>
            </a:solidFill>
            <a:ln>
              <a:solidFill>
                <a:schemeClr val="tx1"/>
              </a:solidFill>
            </a:ln>
            <a:effectLst/>
          </c:spPr>
          <c:invertIfNegative val="0"/>
          <c:cat>
            <c:multiLvlStrRef>
              <c:f>'Figure S3'!$A$3:$B$11</c:f>
              <c:multiLvlStrCache>
                <c:ptCount val="9"/>
                <c:lvl>
                  <c:pt idx="0">
                    <c:v>None</c:v>
                  </c:pt>
                  <c:pt idx="1">
                    <c:v>Empty</c:v>
                  </c:pt>
                  <c:pt idx="2">
                    <c:v>Content</c:v>
                  </c:pt>
                  <c:pt idx="3">
                    <c:v>None</c:v>
                  </c:pt>
                  <c:pt idx="4">
                    <c:v>Empty</c:v>
                  </c:pt>
                  <c:pt idx="5">
                    <c:v>Content</c:v>
                  </c:pt>
                  <c:pt idx="6">
                    <c:v>None</c:v>
                  </c:pt>
                  <c:pt idx="7">
                    <c:v>Empty</c:v>
                  </c:pt>
                  <c:pt idx="8">
                    <c:v>Content</c:v>
                  </c:pt>
                </c:lvl>
                <c:lvl>
                  <c:pt idx="0">
                    <c:v>Buyers</c:v>
                  </c:pt>
                  <c:pt idx="3">
                    <c:v>Sellers</c:v>
                  </c:pt>
                  <c:pt idx="6">
                    <c:v>Traders</c:v>
                  </c:pt>
                </c:lvl>
              </c:multiLvlStrCache>
            </c:multiLvlStrRef>
          </c:cat>
          <c:val>
            <c:numRef>
              <c:f>'Figure S3'!$C$3:$C$11</c:f>
              <c:numCache>
                <c:formatCode>General</c:formatCode>
                <c:ptCount val="9"/>
                <c:pt idx="0">
                  <c:v>2.5350000000000001</c:v>
                </c:pt>
                <c:pt idx="1">
                  <c:v>1.06</c:v>
                </c:pt>
                <c:pt idx="2">
                  <c:v>0.92</c:v>
                </c:pt>
                <c:pt idx="3">
                  <c:v>0.49</c:v>
                </c:pt>
                <c:pt idx="4">
                  <c:v>0.24</c:v>
                </c:pt>
                <c:pt idx="5">
                  <c:v>0.13</c:v>
                </c:pt>
                <c:pt idx="6">
                  <c:v>1.1499999999999999</c:v>
                </c:pt>
                <c:pt idx="7">
                  <c:v>0.37</c:v>
                </c:pt>
                <c:pt idx="8">
                  <c:v>0.31</c:v>
                </c:pt>
              </c:numCache>
            </c:numRef>
          </c:val>
          <c:extLst>
            <c:ext xmlns:c16="http://schemas.microsoft.com/office/drawing/2014/chart" uri="{C3380CC4-5D6E-409C-BE32-E72D297353CC}">
              <c16:uniqueId val="{00000000-105F-A149-A2E0-047C73620ACB}"/>
            </c:ext>
          </c:extLst>
        </c:ser>
        <c:ser>
          <c:idx val="1"/>
          <c:order val="1"/>
          <c:tx>
            <c:strRef>
              <c:f>'Figure S3'!$D$2</c:f>
              <c:strCache>
                <c:ptCount val="1"/>
                <c:pt idx="0">
                  <c:v>Zero</c:v>
                </c:pt>
              </c:strCache>
            </c:strRef>
          </c:tx>
          <c:spPr>
            <a:solidFill>
              <a:schemeClr val="bg1">
                <a:lumMod val="50000"/>
              </a:schemeClr>
            </a:solidFill>
            <a:ln>
              <a:solidFill>
                <a:schemeClr val="tx1"/>
              </a:solidFill>
            </a:ln>
            <a:effectLst/>
          </c:spPr>
          <c:invertIfNegative val="0"/>
          <c:cat>
            <c:multiLvlStrRef>
              <c:f>'Figure S3'!$A$3:$B$11</c:f>
              <c:multiLvlStrCache>
                <c:ptCount val="9"/>
                <c:lvl>
                  <c:pt idx="0">
                    <c:v>None</c:v>
                  </c:pt>
                  <c:pt idx="1">
                    <c:v>Empty</c:v>
                  </c:pt>
                  <c:pt idx="2">
                    <c:v>Content</c:v>
                  </c:pt>
                  <c:pt idx="3">
                    <c:v>None</c:v>
                  </c:pt>
                  <c:pt idx="4">
                    <c:v>Empty</c:v>
                  </c:pt>
                  <c:pt idx="5">
                    <c:v>Content</c:v>
                  </c:pt>
                  <c:pt idx="6">
                    <c:v>None</c:v>
                  </c:pt>
                  <c:pt idx="7">
                    <c:v>Empty</c:v>
                  </c:pt>
                  <c:pt idx="8">
                    <c:v>Content</c:v>
                  </c:pt>
                </c:lvl>
                <c:lvl>
                  <c:pt idx="0">
                    <c:v>Buyers</c:v>
                  </c:pt>
                  <c:pt idx="3">
                    <c:v>Sellers</c:v>
                  </c:pt>
                  <c:pt idx="6">
                    <c:v>Traders</c:v>
                  </c:pt>
                </c:lvl>
              </c:multiLvlStrCache>
            </c:multiLvlStrRef>
          </c:cat>
          <c:val>
            <c:numRef>
              <c:f>'Figure S3'!$D$3:$D$11</c:f>
              <c:numCache>
                <c:formatCode>General</c:formatCode>
                <c:ptCount val="9"/>
                <c:pt idx="0">
                  <c:v>0.58099999999999996</c:v>
                </c:pt>
                <c:pt idx="1">
                  <c:v>0.31</c:v>
                </c:pt>
                <c:pt idx="2">
                  <c:v>0.45</c:v>
                </c:pt>
                <c:pt idx="3">
                  <c:v>0.44</c:v>
                </c:pt>
                <c:pt idx="4">
                  <c:v>0.24</c:v>
                </c:pt>
                <c:pt idx="5">
                  <c:v>0.6</c:v>
                </c:pt>
                <c:pt idx="6">
                  <c:v>3.29</c:v>
                </c:pt>
                <c:pt idx="7">
                  <c:v>1.4</c:v>
                </c:pt>
                <c:pt idx="8">
                  <c:v>0.84</c:v>
                </c:pt>
              </c:numCache>
            </c:numRef>
          </c:val>
          <c:extLst>
            <c:ext xmlns:c16="http://schemas.microsoft.com/office/drawing/2014/chart" uri="{C3380CC4-5D6E-409C-BE32-E72D297353CC}">
              <c16:uniqueId val="{00000001-105F-A149-A2E0-047C73620ACB}"/>
            </c:ext>
          </c:extLst>
        </c:ser>
        <c:ser>
          <c:idx val="2"/>
          <c:order val="2"/>
          <c:tx>
            <c:strRef>
              <c:f>'Figure S3'!$E$2</c:f>
              <c:strCache>
                <c:ptCount val="1"/>
                <c:pt idx="0">
                  <c:v>Positive</c:v>
                </c:pt>
              </c:strCache>
            </c:strRef>
          </c:tx>
          <c:spPr>
            <a:solidFill>
              <a:schemeClr val="bg1"/>
            </a:solidFill>
            <a:ln>
              <a:solidFill>
                <a:schemeClr val="tx1"/>
              </a:solidFill>
            </a:ln>
            <a:effectLst/>
          </c:spPr>
          <c:invertIfNegative val="0"/>
          <c:cat>
            <c:multiLvlStrRef>
              <c:f>'Figure S3'!$A$3:$B$11</c:f>
              <c:multiLvlStrCache>
                <c:ptCount val="9"/>
                <c:lvl>
                  <c:pt idx="0">
                    <c:v>None</c:v>
                  </c:pt>
                  <c:pt idx="1">
                    <c:v>Empty</c:v>
                  </c:pt>
                  <c:pt idx="2">
                    <c:v>Content</c:v>
                  </c:pt>
                  <c:pt idx="3">
                    <c:v>None</c:v>
                  </c:pt>
                  <c:pt idx="4">
                    <c:v>Empty</c:v>
                  </c:pt>
                  <c:pt idx="5">
                    <c:v>Content</c:v>
                  </c:pt>
                  <c:pt idx="6">
                    <c:v>None</c:v>
                  </c:pt>
                  <c:pt idx="7">
                    <c:v>Empty</c:v>
                  </c:pt>
                  <c:pt idx="8">
                    <c:v>Content</c:v>
                  </c:pt>
                </c:lvl>
                <c:lvl>
                  <c:pt idx="0">
                    <c:v>Buyers</c:v>
                  </c:pt>
                  <c:pt idx="3">
                    <c:v>Sellers</c:v>
                  </c:pt>
                  <c:pt idx="6">
                    <c:v>Traders</c:v>
                  </c:pt>
                </c:lvl>
              </c:multiLvlStrCache>
            </c:multiLvlStrRef>
          </c:cat>
          <c:val>
            <c:numRef>
              <c:f>'Figure S3'!$E$3:$E$11</c:f>
              <c:numCache>
                <c:formatCode>General</c:formatCode>
                <c:ptCount val="9"/>
                <c:pt idx="0">
                  <c:v>4.8839999999999986</c:v>
                </c:pt>
                <c:pt idx="1">
                  <c:v>6.63</c:v>
                </c:pt>
                <c:pt idx="2">
                  <c:v>6.63</c:v>
                </c:pt>
                <c:pt idx="3">
                  <c:v>7.07</c:v>
                </c:pt>
                <c:pt idx="4">
                  <c:v>7.52</c:v>
                </c:pt>
                <c:pt idx="5">
                  <c:v>7.27</c:v>
                </c:pt>
                <c:pt idx="6">
                  <c:v>3.56</c:v>
                </c:pt>
                <c:pt idx="7">
                  <c:v>6.23</c:v>
                </c:pt>
                <c:pt idx="8">
                  <c:v>6.85</c:v>
                </c:pt>
              </c:numCache>
            </c:numRef>
          </c:val>
          <c:extLst>
            <c:ext xmlns:c16="http://schemas.microsoft.com/office/drawing/2014/chart" uri="{C3380CC4-5D6E-409C-BE32-E72D297353CC}">
              <c16:uniqueId val="{00000002-105F-A149-A2E0-047C73620ACB}"/>
            </c:ext>
          </c:extLst>
        </c:ser>
        <c:dLbls>
          <c:showLegendKey val="0"/>
          <c:showVal val="0"/>
          <c:showCatName val="0"/>
          <c:showSerName val="0"/>
          <c:showPercent val="0"/>
          <c:showBubbleSize val="0"/>
        </c:dLbls>
        <c:gapWidth val="75"/>
        <c:overlap val="100"/>
        <c:axId val="1077658480"/>
        <c:axId val="1077111584"/>
      </c:barChart>
      <c:catAx>
        <c:axId val="10776584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077111584"/>
        <c:crosses val="autoZero"/>
        <c:auto val="1"/>
        <c:lblAlgn val="ctr"/>
        <c:lblOffset val="100"/>
        <c:noMultiLvlLbl val="0"/>
      </c:catAx>
      <c:valAx>
        <c:axId val="10771115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07765848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charset="0"/>
          <a:ea typeface="Arial" charset="0"/>
          <a:cs typeface="Arial"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'Figure S4'!$C$2</c:f>
              <c:strCache>
                <c:ptCount val="1"/>
                <c:pt idx="0">
                  <c:v>Negative</c:v>
                </c:pt>
              </c:strCache>
            </c:strRef>
          </c:tx>
          <c:spPr>
            <a:solidFill>
              <a:schemeClr val="tx1"/>
            </a:solidFill>
            <a:ln>
              <a:solidFill>
                <a:schemeClr val="tx1"/>
              </a:solidFill>
            </a:ln>
            <a:effectLst/>
          </c:spPr>
          <c:invertIfNegative val="0"/>
          <c:cat>
            <c:multiLvlStrRef>
              <c:f>'Figure S4'!$A$3:$B$8</c:f>
              <c:multiLvlStrCache>
                <c:ptCount val="6"/>
                <c:lvl>
                  <c:pt idx="0">
                    <c:v>No-Cue</c:v>
                  </c:pt>
                  <c:pt idx="1">
                    <c:v>Preference-Cue</c:v>
                  </c:pt>
                  <c:pt idx="2">
                    <c:v>No-Cue</c:v>
                  </c:pt>
                  <c:pt idx="3">
                    <c:v>Preference-Cue</c:v>
                  </c:pt>
                  <c:pt idx="4">
                    <c:v>No-Cue</c:v>
                  </c:pt>
                  <c:pt idx="5">
                    <c:v>Preference-Cue</c:v>
                  </c:pt>
                </c:lvl>
                <c:lvl>
                  <c:pt idx="0">
                    <c:v>Buyers</c:v>
                  </c:pt>
                  <c:pt idx="2">
                    <c:v>Sellers</c:v>
                  </c:pt>
                  <c:pt idx="4">
                    <c:v>Traders</c:v>
                  </c:pt>
                </c:lvl>
              </c:multiLvlStrCache>
            </c:multiLvlStrRef>
          </c:cat>
          <c:val>
            <c:numRef>
              <c:f>'Figure S4'!$C$3:$C$8</c:f>
              <c:numCache>
                <c:formatCode>General</c:formatCode>
                <c:ptCount val="6"/>
                <c:pt idx="0">
                  <c:v>0.83</c:v>
                </c:pt>
                <c:pt idx="1">
                  <c:v>0.52200000000000002</c:v>
                </c:pt>
                <c:pt idx="2">
                  <c:v>0.04</c:v>
                </c:pt>
                <c:pt idx="3">
                  <c:v>0.06</c:v>
                </c:pt>
                <c:pt idx="4">
                  <c:v>0.25</c:v>
                </c:pt>
                <c:pt idx="5">
                  <c:v>0.12</c:v>
                </c:pt>
              </c:numCache>
            </c:numRef>
          </c:val>
          <c:extLst>
            <c:ext xmlns:c16="http://schemas.microsoft.com/office/drawing/2014/chart" uri="{C3380CC4-5D6E-409C-BE32-E72D297353CC}">
              <c16:uniqueId val="{00000000-4DBF-1549-9B94-A1A58D894D76}"/>
            </c:ext>
          </c:extLst>
        </c:ser>
        <c:ser>
          <c:idx val="1"/>
          <c:order val="1"/>
          <c:tx>
            <c:strRef>
              <c:f>'Figure S4'!$D$2</c:f>
              <c:strCache>
                <c:ptCount val="1"/>
                <c:pt idx="0">
                  <c:v>Zero</c:v>
                </c:pt>
              </c:strCache>
            </c:strRef>
          </c:tx>
          <c:spPr>
            <a:solidFill>
              <a:schemeClr val="bg1">
                <a:lumMod val="50000"/>
              </a:schemeClr>
            </a:solidFill>
            <a:ln>
              <a:solidFill>
                <a:schemeClr val="tx1"/>
              </a:solidFill>
            </a:ln>
            <a:effectLst/>
          </c:spPr>
          <c:invertIfNegative val="0"/>
          <c:cat>
            <c:multiLvlStrRef>
              <c:f>'Figure S4'!$A$3:$B$8</c:f>
              <c:multiLvlStrCache>
                <c:ptCount val="6"/>
                <c:lvl>
                  <c:pt idx="0">
                    <c:v>No-Cue</c:v>
                  </c:pt>
                  <c:pt idx="1">
                    <c:v>Preference-Cue</c:v>
                  </c:pt>
                  <c:pt idx="2">
                    <c:v>No-Cue</c:v>
                  </c:pt>
                  <c:pt idx="3">
                    <c:v>Preference-Cue</c:v>
                  </c:pt>
                  <c:pt idx="4">
                    <c:v>No-Cue</c:v>
                  </c:pt>
                  <c:pt idx="5">
                    <c:v>Preference-Cue</c:v>
                  </c:pt>
                </c:lvl>
                <c:lvl>
                  <c:pt idx="0">
                    <c:v>Buyers</c:v>
                  </c:pt>
                  <c:pt idx="2">
                    <c:v>Sellers</c:v>
                  </c:pt>
                  <c:pt idx="4">
                    <c:v>Traders</c:v>
                  </c:pt>
                </c:lvl>
              </c:multiLvlStrCache>
            </c:multiLvlStrRef>
          </c:cat>
          <c:val>
            <c:numRef>
              <c:f>'Figure S4'!$D$3:$D$8</c:f>
              <c:numCache>
                <c:formatCode>General</c:formatCode>
                <c:ptCount val="6"/>
                <c:pt idx="0">
                  <c:v>0.17</c:v>
                </c:pt>
                <c:pt idx="1">
                  <c:v>0.17399999999999999</c:v>
                </c:pt>
                <c:pt idx="2">
                  <c:v>7.0000000000000007E-2</c:v>
                </c:pt>
                <c:pt idx="3">
                  <c:v>7.0000000000000007E-2</c:v>
                </c:pt>
                <c:pt idx="4">
                  <c:v>1.41</c:v>
                </c:pt>
                <c:pt idx="5">
                  <c:v>0.94</c:v>
                </c:pt>
              </c:numCache>
            </c:numRef>
          </c:val>
          <c:extLst>
            <c:ext xmlns:c16="http://schemas.microsoft.com/office/drawing/2014/chart" uri="{C3380CC4-5D6E-409C-BE32-E72D297353CC}">
              <c16:uniqueId val="{00000001-4DBF-1549-9B94-A1A58D894D76}"/>
            </c:ext>
          </c:extLst>
        </c:ser>
        <c:ser>
          <c:idx val="2"/>
          <c:order val="2"/>
          <c:tx>
            <c:strRef>
              <c:f>'Figure S4'!$E$2</c:f>
              <c:strCache>
                <c:ptCount val="1"/>
                <c:pt idx="0">
                  <c:v>Positive</c:v>
                </c:pt>
              </c:strCache>
            </c:strRef>
          </c:tx>
          <c:spPr>
            <a:solidFill>
              <a:schemeClr val="bg1"/>
            </a:solidFill>
            <a:ln>
              <a:solidFill>
                <a:schemeClr val="tx1"/>
              </a:solidFill>
            </a:ln>
            <a:effectLst/>
          </c:spPr>
          <c:invertIfNegative val="0"/>
          <c:cat>
            <c:multiLvlStrRef>
              <c:f>'Figure S4'!$A$3:$B$8</c:f>
              <c:multiLvlStrCache>
                <c:ptCount val="6"/>
                <c:lvl>
                  <c:pt idx="0">
                    <c:v>No-Cue</c:v>
                  </c:pt>
                  <c:pt idx="1">
                    <c:v>Preference-Cue</c:v>
                  </c:pt>
                  <c:pt idx="2">
                    <c:v>No-Cue</c:v>
                  </c:pt>
                  <c:pt idx="3">
                    <c:v>Preference-Cue</c:v>
                  </c:pt>
                  <c:pt idx="4">
                    <c:v>No-Cue</c:v>
                  </c:pt>
                  <c:pt idx="5">
                    <c:v>Preference-Cue</c:v>
                  </c:pt>
                </c:lvl>
                <c:lvl>
                  <c:pt idx="0">
                    <c:v>Buyers</c:v>
                  </c:pt>
                  <c:pt idx="2">
                    <c:v>Sellers</c:v>
                  </c:pt>
                  <c:pt idx="4">
                    <c:v>Traders</c:v>
                  </c:pt>
                </c:lvl>
              </c:multiLvlStrCache>
            </c:multiLvlStrRef>
          </c:cat>
          <c:val>
            <c:numRef>
              <c:f>'Figure S4'!$E$3:$E$8</c:f>
              <c:numCache>
                <c:formatCode>General</c:formatCode>
                <c:ptCount val="6"/>
                <c:pt idx="0">
                  <c:v>1</c:v>
                </c:pt>
                <c:pt idx="1">
                  <c:v>1.304</c:v>
                </c:pt>
                <c:pt idx="2">
                  <c:v>1.88</c:v>
                </c:pt>
                <c:pt idx="3">
                  <c:v>1.87</c:v>
                </c:pt>
                <c:pt idx="4">
                  <c:v>2.35</c:v>
                </c:pt>
                <c:pt idx="5">
                  <c:v>2.94</c:v>
                </c:pt>
              </c:numCache>
            </c:numRef>
          </c:val>
          <c:extLst>
            <c:ext xmlns:c16="http://schemas.microsoft.com/office/drawing/2014/chart" uri="{C3380CC4-5D6E-409C-BE32-E72D297353CC}">
              <c16:uniqueId val="{00000002-4DBF-1549-9B94-A1A58D894D76}"/>
            </c:ext>
          </c:extLst>
        </c:ser>
        <c:dLbls>
          <c:showLegendKey val="0"/>
          <c:showVal val="0"/>
          <c:showCatName val="0"/>
          <c:showSerName val="0"/>
          <c:showPercent val="0"/>
          <c:showBubbleSize val="0"/>
        </c:dLbls>
        <c:gapWidth val="75"/>
        <c:overlap val="100"/>
        <c:axId val="1177975184"/>
        <c:axId val="1177977504"/>
      </c:barChart>
      <c:catAx>
        <c:axId val="11779751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177977504"/>
        <c:crosses val="autoZero"/>
        <c:auto val="1"/>
        <c:lblAlgn val="ctr"/>
        <c:lblOffset val="100"/>
        <c:noMultiLvlLbl val="0"/>
      </c:catAx>
      <c:valAx>
        <c:axId val="11779775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17797518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charset="0"/>
          <a:ea typeface="Arial" charset="0"/>
          <a:cs typeface="Arial"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'Figure S4'!$C$2</c:f>
              <c:strCache>
                <c:ptCount val="1"/>
                <c:pt idx="0">
                  <c:v>Negative</c:v>
                </c:pt>
              </c:strCache>
            </c:strRef>
          </c:tx>
          <c:spPr>
            <a:solidFill>
              <a:schemeClr val="tx1"/>
            </a:solidFill>
            <a:ln>
              <a:solidFill>
                <a:schemeClr val="tx1"/>
              </a:solidFill>
            </a:ln>
            <a:effectLst/>
          </c:spPr>
          <c:invertIfNegative val="0"/>
          <c:cat>
            <c:multiLvlStrRef>
              <c:f>'Figure S4'!$A$3:$B$11</c:f>
              <c:multiLvlStrCache>
                <c:ptCount val="9"/>
                <c:lvl>
                  <c:pt idx="0">
                    <c:v>Third-Person</c:v>
                  </c:pt>
                  <c:pt idx="1">
                    <c:v>Subjective</c:v>
                  </c:pt>
                  <c:pt idx="2">
                    <c:v>First-Person</c:v>
                  </c:pt>
                  <c:pt idx="3">
                    <c:v>Third-Person</c:v>
                  </c:pt>
                  <c:pt idx="4">
                    <c:v>Subjective</c:v>
                  </c:pt>
                  <c:pt idx="5">
                    <c:v>First-Person</c:v>
                  </c:pt>
                  <c:pt idx="6">
                    <c:v>Third-Person</c:v>
                  </c:pt>
                  <c:pt idx="7">
                    <c:v>Subjective</c:v>
                  </c:pt>
                  <c:pt idx="8">
                    <c:v>First-Person</c:v>
                  </c:pt>
                </c:lvl>
                <c:lvl>
                  <c:pt idx="0">
                    <c:v>Buyers</c:v>
                  </c:pt>
                  <c:pt idx="3">
                    <c:v>Sellers</c:v>
                  </c:pt>
                  <c:pt idx="6">
                    <c:v>Traders</c:v>
                  </c:pt>
                </c:lvl>
              </c:multiLvlStrCache>
            </c:multiLvlStrRef>
          </c:cat>
          <c:val>
            <c:numRef>
              <c:f>'Figure S4'!$C$3:$C$11</c:f>
              <c:numCache>
                <c:formatCode>General</c:formatCode>
                <c:ptCount val="9"/>
                <c:pt idx="0">
                  <c:v>2.5350000000000001</c:v>
                </c:pt>
                <c:pt idx="1">
                  <c:v>1.67</c:v>
                </c:pt>
                <c:pt idx="2">
                  <c:v>2.3256000000000001</c:v>
                </c:pt>
                <c:pt idx="3">
                  <c:v>0.49</c:v>
                </c:pt>
                <c:pt idx="4">
                  <c:v>0.38</c:v>
                </c:pt>
                <c:pt idx="5">
                  <c:v>0.38400000000000001</c:v>
                </c:pt>
                <c:pt idx="6">
                  <c:v>1.1499999999999999</c:v>
                </c:pt>
                <c:pt idx="7">
                  <c:v>0.77</c:v>
                </c:pt>
                <c:pt idx="8">
                  <c:v>1.488</c:v>
                </c:pt>
              </c:numCache>
            </c:numRef>
          </c:val>
          <c:extLst>
            <c:ext xmlns:c16="http://schemas.microsoft.com/office/drawing/2014/chart" uri="{C3380CC4-5D6E-409C-BE32-E72D297353CC}">
              <c16:uniqueId val="{00000000-45C7-7C48-B8C6-584EAFB9126A}"/>
            </c:ext>
          </c:extLst>
        </c:ser>
        <c:ser>
          <c:idx val="1"/>
          <c:order val="1"/>
          <c:tx>
            <c:strRef>
              <c:f>'Figure S4'!$D$2</c:f>
              <c:strCache>
                <c:ptCount val="1"/>
                <c:pt idx="0">
                  <c:v>Zero</c:v>
                </c:pt>
              </c:strCache>
            </c:strRef>
          </c:tx>
          <c:spPr>
            <a:solidFill>
              <a:schemeClr val="bg1">
                <a:lumMod val="50000"/>
              </a:schemeClr>
            </a:solidFill>
            <a:ln>
              <a:solidFill>
                <a:schemeClr val="tx1"/>
              </a:solidFill>
            </a:ln>
            <a:effectLst/>
          </c:spPr>
          <c:invertIfNegative val="0"/>
          <c:cat>
            <c:multiLvlStrRef>
              <c:f>'Figure S4'!$A$3:$B$11</c:f>
              <c:multiLvlStrCache>
                <c:ptCount val="9"/>
                <c:lvl>
                  <c:pt idx="0">
                    <c:v>Third-Person</c:v>
                  </c:pt>
                  <c:pt idx="1">
                    <c:v>Subjective</c:v>
                  </c:pt>
                  <c:pt idx="2">
                    <c:v>First-Person</c:v>
                  </c:pt>
                  <c:pt idx="3">
                    <c:v>Third-Person</c:v>
                  </c:pt>
                  <c:pt idx="4">
                    <c:v>Subjective</c:v>
                  </c:pt>
                  <c:pt idx="5">
                    <c:v>First-Person</c:v>
                  </c:pt>
                  <c:pt idx="6">
                    <c:v>Third-Person</c:v>
                  </c:pt>
                  <c:pt idx="7">
                    <c:v>Subjective</c:v>
                  </c:pt>
                  <c:pt idx="8">
                    <c:v>First-Person</c:v>
                  </c:pt>
                </c:lvl>
                <c:lvl>
                  <c:pt idx="0">
                    <c:v>Buyers</c:v>
                  </c:pt>
                  <c:pt idx="3">
                    <c:v>Sellers</c:v>
                  </c:pt>
                  <c:pt idx="6">
                    <c:v>Traders</c:v>
                  </c:pt>
                </c:lvl>
              </c:multiLvlStrCache>
            </c:multiLvlStrRef>
          </c:cat>
          <c:val>
            <c:numRef>
              <c:f>'Figure S4'!$D$3:$D$11</c:f>
              <c:numCache>
                <c:formatCode>General</c:formatCode>
                <c:ptCount val="9"/>
                <c:pt idx="0">
                  <c:v>0.58099999999999996</c:v>
                </c:pt>
                <c:pt idx="1">
                  <c:v>0.45</c:v>
                </c:pt>
                <c:pt idx="2">
                  <c:v>0.47670000000000001</c:v>
                </c:pt>
                <c:pt idx="3">
                  <c:v>0.44</c:v>
                </c:pt>
                <c:pt idx="4">
                  <c:v>0.5</c:v>
                </c:pt>
                <c:pt idx="5">
                  <c:v>0.30199999999999999</c:v>
                </c:pt>
                <c:pt idx="6">
                  <c:v>3.29</c:v>
                </c:pt>
                <c:pt idx="7">
                  <c:v>1.85</c:v>
                </c:pt>
                <c:pt idx="8">
                  <c:v>2.4649999999999999</c:v>
                </c:pt>
              </c:numCache>
            </c:numRef>
          </c:val>
          <c:extLst>
            <c:ext xmlns:c16="http://schemas.microsoft.com/office/drawing/2014/chart" uri="{C3380CC4-5D6E-409C-BE32-E72D297353CC}">
              <c16:uniqueId val="{00000001-45C7-7C48-B8C6-584EAFB9126A}"/>
            </c:ext>
          </c:extLst>
        </c:ser>
        <c:ser>
          <c:idx val="2"/>
          <c:order val="2"/>
          <c:tx>
            <c:strRef>
              <c:f>'Figure S4'!$E$2</c:f>
              <c:strCache>
                <c:ptCount val="1"/>
                <c:pt idx="0">
                  <c:v>Positive</c:v>
                </c:pt>
              </c:strCache>
            </c:strRef>
          </c:tx>
          <c:spPr>
            <a:solidFill>
              <a:schemeClr val="bg1"/>
            </a:solidFill>
            <a:ln>
              <a:solidFill>
                <a:schemeClr val="tx1"/>
              </a:solidFill>
            </a:ln>
            <a:effectLst/>
          </c:spPr>
          <c:invertIfNegative val="0"/>
          <c:cat>
            <c:multiLvlStrRef>
              <c:f>'Figure S4'!$A$3:$B$11</c:f>
              <c:multiLvlStrCache>
                <c:ptCount val="9"/>
                <c:lvl>
                  <c:pt idx="0">
                    <c:v>Third-Person</c:v>
                  </c:pt>
                  <c:pt idx="1">
                    <c:v>Subjective</c:v>
                  </c:pt>
                  <c:pt idx="2">
                    <c:v>First-Person</c:v>
                  </c:pt>
                  <c:pt idx="3">
                    <c:v>Third-Person</c:v>
                  </c:pt>
                  <c:pt idx="4">
                    <c:v>Subjective</c:v>
                  </c:pt>
                  <c:pt idx="5">
                    <c:v>First-Person</c:v>
                  </c:pt>
                  <c:pt idx="6">
                    <c:v>Third-Person</c:v>
                  </c:pt>
                  <c:pt idx="7">
                    <c:v>Subjective</c:v>
                  </c:pt>
                  <c:pt idx="8">
                    <c:v>First-Person</c:v>
                  </c:pt>
                </c:lvl>
                <c:lvl>
                  <c:pt idx="0">
                    <c:v>Buyers</c:v>
                  </c:pt>
                  <c:pt idx="3">
                    <c:v>Sellers</c:v>
                  </c:pt>
                  <c:pt idx="6">
                    <c:v>Traders</c:v>
                  </c:pt>
                </c:lvl>
              </c:multiLvlStrCache>
            </c:multiLvlStrRef>
          </c:cat>
          <c:val>
            <c:numRef>
              <c:f>'Figure S4'!$E$3:$E$11</c:f>
              <c:numCache>
                <c:formatCode>General</c:formatCode>
                <c:ptCount val="9"/>
                <c:pt idx="0">
                  <c:v>4.8839999999999986</c:v>
                </c:pt>
                <c:pt idx="1">
                  <c:v>5.88</c:v>
                </c:pt>
                <c:pt idx="2">
                  <c:v>5.1976999999999984</c:v>
                </c:pt>
                <c:pt idx="3">
                  <c:v>7.07</c:v>
                </c:pt>
                <c:pt idx="4">
                  <c:v>7.1199999999999974</c:v>
                </c:pt>
                <c:pt idx="5">
                  <c:v>7.3139999999999974</c:v>
                </c:pt>
                <c:pt idx="6">
                  <c:v>3.56</c:v>
                </c:pt>
                <c:pt idx="7">
                  <c:v>5.38</c:v>
                </c:pt>
                <c:pt idx="8">
                  <c:v>4.0469999999999997</c:v>
                </c:pt>
              </c:numCache>
            </c:numRef>
          </c:val>
          <c:extLst>
            <c:ext xmlns:c16="http://schemas.microsoft.com/office/drawing/2014/chart" uri="{C3380CC4-5D6E-409C-BE32-E72D297353CC}">
              <c16:uniqueId val="{00000002-45C7-7C48-B8C6-584EAFB9126A}"/>
            </c:ext>
          </c:extLst>
        </c:ser>
        <c:dLbls>
          <c:showLegendKey val="0"/>
          <c:showVal val="0"/>
          <c:showCatName val="0"/>
          <c:showSerName val="0"/>
          <c:showPercent val="0"/>
          <c:showBubbleSize val="0"/>
        </c:dLbls>
        <c:gapWidth val="75"/>
        <c:overlap val="100"/>
        <c:axId val="1175623264"/>
        <c:axId val="1175625584"/>
      </c:barChart>
      <c:catAx>
        <c:axId val="117562326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175625584"/>
        <c:crosses val="autoZero"/>
        <c:auto val="1"/>
        <c:lblAlgn val="ctr"/>
        <c:lblOffset val="100"/>
        <c:noMultiLvlLbl val="0"/>
      </c:catAx>
      <c:valAx>
        <c:axId val="11756255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endParaRPr lang="en-US"/>
          </a:p>
        </c:txPr>
        <c:crossAx val="117562326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charset="0"/>
          <a:ea typeface="Arial" charset="0"/>
          <a:cs typeface="Arial"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16</Pages>
  <Words>7218</Words>
  <Characters>41145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Johnson</dc:creator>
  <cp:keywords/>
  <dc:description/>
  <cp:lastModifiedBy>Johnson, Samuel</cp:lastModifiedBy>
  <cp:revision>22</cp:revision>
  <cp:lastPrinted>2021-01-23T13:39:00Z</cp:lastPrinted>
  <dcterms:created xsi:type="dcterms:W3CDTF">2020-03-23T10:53:00Z</dcterms:created>
  <dcterms:modified xsi:type="dcterms:W3CDTF">2021-02-16T09:55:00Z</dcterms:modified>
</cp:coreProperties>
</file>